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4.1.0.0 -->
  <w:body>
    <w:sdt>
      <w:sdtPr>
        <w:rPr>
          <w:color w:val="5B9BD5" w:themeColor="accent1"/>
        </w:rPr>
        <w:id w:val="-469746354"/>
        <w:docPartObj>
          <w:docPartGallery w:val="Cover Pages"/>
          <w:docPartUnique/>
        </w:docPartObj>
      </w:sdtPr>
      <w:sdtEndPr>
        <w:rPr>
          <w:rFonts w:ascii="Times New Roman" w:hAnsi="Times New Roman" w:cs="Times New Roman"/>
          <w:color w:val="auto"/>
          <w:sz w:val="32"/>
        </w:rPr>
      </w:sdtEndPr>
      <w:sdtContent>
        <w:p w:rsidR="002E35A6" w:rsidP="009C6016">
          <w:pPr>
            <w:pStyle w:val="NoSpacing"/>
            <w:tabs>
              <w:tab w:val="left" w:pos="8505"/>
            </w:tabs>
            <w:spacing w:before="1200" w:after="240"/>
            <w:ind w:left="1134"/>
            <w:jc w:val="center"/>
            <w:rPr>
              <w:color w:val="5B9BD5" w:themeColor="accent1"/>
            </w:rPr>
          </w:pPr>
          <w:r>
            <w:rPr>
              <w:noProof/>
            </w:rPr>
            <w:pict>
              <v:line id="Přímá spojnice 1" o:spid="_x0000_s1025" style="mso-height-percent:0;mso-height-relative:margin;mso-width-percent:0;mso-width-relative:margin;mso-wrap-distance-bottom:0;mso-wrap-distance-left:9pt;mso-wrap-distance-right:9pt;mso-wrap-distance-top:0;mso-wrap-style:square;position:absolute;visibility:visible;z-index:251659264" from="65.35pt,163.5pt" to="451.1pt,163.5pt" strokecolor="#0073cf" strokeweight="1.5pt">
                <v:stroke joinstyle="miter" linestyle="thinThin"/>
              </v:line>
            </w:pict>
          </w:r>
          <w:r w:rsidRPr="003F265B">
            <w:rPr>
              <w:b/>
              <w:color w:val="0073CF"/>
              <w:sz w:val="68"/>
              <w:szCs w:val="68"/>
            </w:rPr>
            <w:t xml:space="preserve">ŠKOLNÍ VZDĚLÁVACÍ </w:t>
          </w:r>
          <w:r>
            <w:rPr>
              <w:b/>
              <w:color w:val="0073CF"/>
              <w:sz w:val="68"/>
              <w:szCs w:val="68"/>
            </w:rPr>
            <w:cr/>
          </w:r>
          <w:r w:rsidRPr="003F265B">
            <w:rPr>
              <w:b/>
              <w:color w:val="0073CF"/>
              <w:sz w:val="68"/>
              <w:szCs w:val="68"/>
            </w:rPr>
            <w:t>PROG</w:t>
          </w:r>
          <w:bookmarkStart w:id="0" w:name="_GoBack"/>
          <w:bookmarkEnd w:id="0"/>
          <w:r w:rsidRPr="003F265B">
            <w:rPr>
              <w:b/>
              <w:color w:val="0073CF"/>
              <w:sz w:val="68"/>
              <w:szCs w:val="68"/>
            </w:rPr>
            <w:t>RAM</w:t>
          </w:r>
          <w:r>
            <w:rPr>
              <w:noProof/>
              <w:color w:val="5B9BD5" w:themeColor="accent1"/>
            </w:rPr>
            <w:t xml:space="preserve"> </w:t>
          </w:r>
          <w:r>
            <w:rPr>
              <w:noProof/>
              <w:color w:val="5B9BD5" w:themeColor="accent1"/>
            </w:rPr>
            <w:pict>
              <v:line id="Přímá spojnice 3" o:spid="_x0000_s1026" style="mso-height-percent:0;mso-height-relative:page;mso-width-percent:0;mso-width-relative:page;mso-wrap-distance-bottom:0;mso-wrap-distance-left:9pt;mso-wrap-distance-right:9pt;mso-wrap-distance-top:0;mso-wrap-style:square;position:absolute;visibility:visible;z-index:251660288" from="41.5pt,-71.6pt" to="41.5pt,768.7pt" strokecolor="#0073cf" strokeweight="4.5pt">
                <v:stroke joinstyle="miter"/>
              </v:line>
            </w:pict>
          </w:r>
          <w:r>
            <w:rPr>
              <w:noProof/>
              <w:color w:val="5B9BD5" w:themeColor="accent1"/>
            </w:rPr>
            <w:pict>
              <v:rect id="Obdélník 2" o:spid="_x0000_s1027" style="height:840.35pt;margin-left:-90pt;margin-top:-71.6pt;mso-height-percent:0;mso-height-relative:margin;mso-width-percent:0;mso-width-relative:margin;mso-wrap-distance-bottom:0;mso-wrap-distance-left:9pt;mso-wrap-distance-right:9pt;mso-wrap-distance-top:0;mso-wrap-style:square;position:absolute;v-text-anchor:middle;visibility:visible;width:123.6pt;z-index:251658240" fillcolor="#004181" strokecolor="#0073cf" strokeweight="1pt">
                <v:fill color2="#0075df" rotate="t" angle="270" colors="0 #004181;0.5 #0061bb;1 #0075df" focus="100%" type="gradient"/>
              </v:rect>
            </w:pict>
          </w:r>
        </w:p>
        <w:p w:rsidR="002E35A6" w:rsidP="002E35A6">
          <w:pPr>
            <w:pStyle w:val="NoSpacing"/>
            <w:tabs>
              <w:tab w:val="left" w:pos="3761"/>
              <w:tab w:val="center" w:pos="4536"/>
            </w:tabs>
            <w:spacing w:before="480"/>
            <w:ind w:left="1701"/>
          </w:pPr>
          <w:r>
            <w:tab/>
          </w:r>
          <w:r>
            <w:tab/>
          </w:r>
        </w:p>
        <w:p w:rsidR="002E35A6" w:rsidRPr="00C45C5F" w:rsidP="002E35A6">
          <w:pPr>
            <w:pStyle w:val="NoSpacing"/>
            <w:spacing w:before="480"/>
            <w:ind w:left="1134" w:right="-567"/>
            <w:jc w:val="center"/>
            <w:rPr>
              <w:rFonts w:cs="Times New Roman"/>
              <w:b/>
              <w:color w:val="0073CF"/>
              <w:sz w:val="52"/>
            </w:rPr>
          </w:pPr>
          <w:r>
            <w:rPr>
              <w:rFonts w:cs="Times New Roman"/>
              <w:b/>
              <w:color w:val="0073CF"/>
              <w:sz w:val="52"/>
            </w:rPr>
            <w:t>Školní vzdělávací program pro předškolní vzdělávání</w:t>
          </w:r>
        </w:p>
        <w:p w:rsidR="002E35A6" w:rsidP="002E35A6">
          <w:pPr>
            <w:pStyle w:val="NoSpacing"/>
            <w:spacing w:before="480"/>
            <w:ind w:left="1701"/>
            <w:jc w:val="center"/>
          </w:pPr>
        </w:p>
        <w:p w:rsidR="002E35A6" w:rsidP="002E35A6">
          <w:pPr>
            <w:pStyle w:val="NoSpacing"/>
            <w:spacing w:before="480"/>
            <w:ind w:left="1701"/>
            <w:jc w:val="center"/>
          </w:pPr>
        </w:p>
        <w:p w:rsidR="002E35A6" w:rsidP="002E35A6">
          <w:pPr>
            <w:pStyle w:val="NoSpacing"/>
            <w:spacing w:before="480"/>
            <w:ind w:left="1701"/>
            <w:jc w:val="center"/>
          </w:pPr>
        </w:p>
        <w:p w:rsidR="002E35A6" w:rsidRPr="008053B0" w:rsidP="002E35A6">
          <w:pPr>
            <w:pStyle w:val="NoSpacing"/>
            <w:spacing w:before="480"/>
            <w:ind w:left="1701" w:right="-567"/>
            <w:jc w:val="center"/>
            <w:rPr>
              <w:rFonts w:ascii="Times New Roman" w:hAnsi="Times New Roman" w:cs="Times New Roman"/>
              <w:sz w:val="32"/>
            </w:rPr>
          </w:pPr>
        </w:p>
      </w:sdtContent>
    </w:sdt>
    <w:p w:rsidR="002E35A6" w:rsidP="002E35A6">
      <w:pPr>
        <w:jc w:val="left"/>
        <w:rPr>
          <w:rStyle w:val="Strong"/>
        </w:rPr>
      </w:pPr>
      <w:r>
        <w:rPr>
          <w:rStyle w:val="Strong"/>
        </w:rPr>
        <w:tab/>
      </w:r>
      <w:r>
        <w:rPr>
          <w:rStyle w:val="Strong"/>
        </w:rPr>
        <w:tab/>
      </w:r>
      <w:r>
        <w:rPr>
          <w:rStyle w:val="Strong"/>
        </w:rPr>
        <w:tab/>
      </w:r>
    </w:p>
    <w:p w:rsidR="002E35A6" w:rsidRPr="006910BB" w:rsidP="006910BB">
      <w:pPr>
        <w:sectPr w:rsidSect="002E35A6">
          <w:headerReference w:type="even" r:id="rId6"/>
          <w:headerReference w:type="default" r:id="rId7"/>
          <w:footerReference w:type="even" r:id="rId8"/>
          <w:footerReference w:type="default" r:id="rId9"/>
          <w:headerReference w:type="first" r:id="rId10"/>
          <w:footerReference w:type="first" r:id="rId11"/>
          <w:pgSz w:w="11906" w:h="16838"/>
          <w:pgMar w:top="1440" w:right="1325" w:bottom="1440" w:left="1800" w:header="720" w:footer="720" w:gutter="0"/>
          <w:cols w:space="720"/>
          <w:titlePg/>
          <w:docGrid w:linePitch="299"/>
        </w:sectPr>
      </w:pPr>
    </w:p>
    <w:p>
      <w:pPr>
        <w:pStyle w:val="TOC1"/>
        <w:rPr>
          <w:rFonts w:asciiTheme="minorHAnsi" w:hAnsiTheme="minorHAnsi"/>
          <w:noProof/>
          <w:sz w:val="22"/>
        </w:rPr>
      </w:pPr>
      <w:r>
        <w:rPr>
          <w:rStyle w:val="DefaultParagraphFont"/>
        </w:rPr>
        <w:fldChar w:fldCharType="begin"/>
      </w:r>
      <w:r>
        <w:rPr>
          <w:rStyle w:val="DefaultParagraphFont"/>
        </w:rPr>
        <w:instrText>TOC \o "1-3" \h \z \u </w:instrText>
      </w:r>
      <w:r>
        <w:rPr>
          <w:rStyle w:val="DefaultParagraphFont"/>
        </w:rPr>
        <w:fldChar w:fldCharType="separate"/>
      </w:r>
      <w:r>
        <w:fldChar w:fldCharType="begin"/>
      </w:r>
      <w:r>
        <w:rPr>
          <w:rStyle w:val="Hyperlink"/>
        </w:rPr>
        <w:instrText xml:space="preserve"> HYPERLINK \l "_Toc256000000" </w:instrText>
      </w:r>
      <w:r>
        <w:fldChar w:fldCharType="separate"/>
      </w:r>
      <w:r>
        <w:rPr>
          <w:rStyle w:val="Hyperlink"/>
        </w:rPr>
        <w:t>1</w:t>
      </w:r>
      <w:r>
        <w:rPr>
          <w:rStyle w:val="Hyperlink"/>
          <w:rFonts w:asciiTheme="minorHAnsi" w:hAnsiTheme="minorHAnsi"/>
          <w:noProof/>
          <w:sz w:val="22"/>
        </w:rPr>
        <w:tab/>
      </w:r>
      <w:r>
        <w:rPr>
          <w:rStyle w:val="Hyperlink"/>
        </w:rPr>
        <w:t>Identifikační údaje o škole</w:t>
      </w:r>
      <w:r>
        <w:rPr>
          <w:rStyle w:val="Hyperlink"/>
        </w:rPr>
        <w:tab/>
      </w:r>
      <w:r>
        <w:fldChar w:fldCharType="begin"/>
      </w:r>
      <w:r>
        <w:rPr>
          <w:rStyle w:val="Hyperlink"/>
        </w:rPr>
        <w:instrText xml:space="preserve"> PAGEREF _Toc256000000 \h </w:instrText>
      </w:r>
      <w:r>
        <w:fldChar w:fldCharType="separate"/>
      </w:r>
      <w:r>
        <w:rPr>
          <w:rStyle w:val="Hyperlink"/>
        </w:rPr>
        <w:t>3</w:t>
      </w:r>
      <w:r>
        <w:fldChar w:fldCharType="end"/>
      </w:r>
      <w:r>
        <w:fldChar w:fldCharType="end"/>
      </w:r>
    </w:p>
    <w:p>
      <w:pPr>
        <w:pStyle w:val="TOC2"/>
        <w:rPr>
          <w:rFonts w:asciiTheme="minorHAnsi" w:hAnsiTheme="minorHAnsi"/>
          <w:noProof/>
          <w:sz w:val="22"/>
        </w:rPr>
      </w:pPr>
      <w:r>
        <w:fldChar w:fldCharType="begin"/>
      </w:r>
      <w:r>
        <w:rPr>
          <w:rStyle w:val="Hyperlink"/>
        </w:rPr>
        <w:instrText xml:space="preserve"> HYPERLINK \l "_Toc256000001" </w:instrText>
      </w:r>
      <w:r>
        <w:fldChar w:fldCharType="separate"/>
      </w:r>
      <w:r>
        <w:rPr>
          <w:rStyle w:val="Hyperlink"/>
        </w:rPr>
        <w:t>1.1</w:t>
      </w:r>
      <w:r>
        <w:rPr>
          <w:rStyle w:val="Hyperlink"/>
          <w:rFonts w:asciiTheme="minorHAnsi" w:hAnsiTheme="minorHAnsi"/>
          <w:noProof/>
          <w:sz w:val="22"/>
        </w:rPr>
        <w:tab/>
      </w:r>
      <w:r>
        <w:rPr>
          <w:rStyle w:val="Hyperlink"/>
        </w:rPr>
        <w:t>Název ŠVP</w:t>
      </w:r>
      <w:r>
        <w:rPr>
          <w:rStyle w:val="Hyperlink"/>
        </w:rPr>
        <w:tab/>
      </w:r>
      <w:r>
        <w:fldChar w:fldCharType="begin"/>
      </w:r>
      <w:r>
        <w:rPr>
          <w:rStyle w:val="Hyperlink"/>
        </w:rPr>
        <w:instrText xml:space="preserve"> PAGEREF _Toc256000001 \h </w:instrText>
      </w:r>
      <w:r>
        <w:fldChar w:fldCharType="separate"/>
      </w:r>
      <w:r>
        <w:rPr>
          <w:rStyle w:val="Hyperlink"/>
        </w:rPr>
        <w:t>3</w:t>
      </w:r>
      <w:r>
        <w:fldChar w:fldCharType="end"/>
      </w:r>
      <w:r>
        <w:fldChar w:fldCharType="end"/>
      </w:r>
    </w:p>
    <w:p>
      <w:pPr>
        <w:pStyle w:val="TOC2"/>
        <w:rPr>
          <w:rFonts w:asciiTheme="minorHAnsi" w:hAnsiTheme="minorHAnsi"/>
          <w:noProof/>
          <w:sz w:val="22"/>
        </w:rPr>
      </w:pPr>
      <w:r>
        <w:fldChar w:fldCharType="begin"/>
      </w:r>
      <w:r>
        <w:rPr>
          <w:rStyle w:val="Hyperlink"/>
        </w:rPr>
        <w:instrText xml:space="preserve"> HYPERLINK \l "_Toc256000002" </w:instrText>
      </w:r>
      <w:r>
        <w:fldChar w:fldCharType="separate"/>
      </w:r>
      <w:r>
        <w:rPr>
          <w:rStyle w:val="Hyperlink"/>
        </w:rPr>
        <w:t>1.2</w:t>
      </w:r>
      <w:r>
        <w:rPr>
          <w:rStyle w:val="Hyperlink"/>
          <w:rFonts w:asciiTheme="minorHAnsi" w:hAnsiTheme="minorHAnsi"/>
          <w:noProof/>
          <w:sz w:val="22"/>
        </w:rPr>
        <w:tab/>
      </w:r>
      <w:r>
        <w:rPr>
          <w:rStyle w:val="Hyperlink"/>
        </w:rPr>
        <w:t>Údaje o škole</w:t>
      </w:r>
      <w:r>
        <w:rPr>
          <w:rStyle w:val="Hyperlink"/>
        </w:rPr>
        <w:tab/>
      </w:r>
      <w:r>
        <w:fldChar w:fldCharType="begin"/>
      </w:r>
      <w:r>
        <w:rPr>
          <w:rStyle w:val="Hyperlink"/>
        </w:rPr>
        <w:instrText xml:space="preserve"> PAGEREF _Toc256000002 \h </w:instrText>
      </w:r>
      <w:r>
        <w:fldChar w:fldCharType="separate"/>
      </w:r>
      <w:r>
        <w:rPr>
          <w:rStyle w:val="Hyperlink"/>
        </w:rPr>
        <w:t>3</w:t>
      </w:r>
      <w:r>
        <w:fldChar w:fldCharType="end"/>
      </w:r>
      <w:r>
        <w:fldChar w:fldCharType="end"/>
      </w:r>
    </w:p>
    <w:p>
      <w:pPr>
        <w:pStyle w:val="TOC2"/>
        <w:rPr>
          <w:rFonts w:asciiTheme="minorHAnsi" w:hAnsiTheme="minorHAnsi"/>
          <w:noProof/>
          <w:sz w:val="22"/>
        </w:rPr>
      </w:pPr>
      <w:r>
        <w:fldChar w:fldCharType="begin"/>
      </w:r>
      <w:r>
        <w:rPr>
          <w:rStyle w:val="Hyperlink"/>
        </w:rPr>
        <w:instrText xml:space="preserve"> HYPERLINK \l "_Toc256000003" </w:instrText>
      </w:r>
      <w:r>
        <w:fldChar w:fldCharType="separate"/>
      </w:r>
      <w:r>
        <w:rPr>
          <w:rStyle w:val="Hyperlink"/>
        </w:rPr>
        <w:t>1.3</w:t>
      </w:r>
      <w:r>
        <w:rPr>
          <w:rStyle w:val="Hyperlink"/>
          <w:rFonts w:asciiTheme="minorHAnsi" w:hAnsiTheme="minorHAnsi"/>
          <w:noProof/>
          <w:sz w:val="22"/>
        </w:rPr>
        <w:tab/>
      </w:r>
      <w:r>
        <w:rPr>
          <w:rStyle w:val="Hyperlink"/>
        </w:rPr>
        <w:t>Zřizovatel</w:t>
      </w:r>
      <w:r>
        <w:rPr>
          <w:rStyle w:val="Hyperlink"/>
        </w:rPr>
        <w:tab/>
      </w:r>
      <w:r>
        <w:fldChar w:fldCharType="begin"/>
      </w:r>
      <w:r>
        <w:rPr>
          <w:rStyle w:val="Hyperlink"/>
        </w:rPr>
        <w:instrText xml:space="preserve"> PAGEREF _Toc256000003 \h </w:instrText>
      </w:r>
      <w:r>
        <w:fldChar w:fldCharType="separate"/>
      </w:r>
      <w:r>
        <w:rPr>
          <w:rStyle w:val="Hyperlink"/>
        </w:rPr>
        <w:t>3</w:t>
      </w:r>
      <w:r>
        <w:fldChar w:fldCharType="end"/>
      </w:r>
      <w:r>
        <w:fldChar w:fldCharType="end"/>
      </w:r>
    </w:p>
    <w:p>
      <w:pPr>
        <w:pStyle w:val="TOC2"/>
        <w:rPr>
          <w:rFonts w:asciiTheme="minorHAnsi" w:hAnsiTheme="minorHAnsi"/>
          <w:noProof/>
          <w:sz w:val="22"/>
        </w:rPr>
      </w:pPr>
      <w:r>
        <w:fldChar w:fldCharType="begin"/>
      </w:r>
      <w:r>
        <w:rPr>
          <w:rStyle w:val="Hyperlink"/>
        </w:rPr>
        <w:instrText xml:space="preserve"> HYPERLINK \l "_Toc256000004" </w:instrText>
      </w:r>
      <w:r>
        <w:fldChar w:fldCharType="separate"/>
      </w:r>
      <w:r>
        <w:rPr>
          <w:rStyle w:val="Hyperlink"/>
        </w:rPr>
        <w:t>1.4</w:t>
      </w:r>
      <w:r>
        <w:rPr>
          <w:rStyle w:val="Hyperlink"/>
          <w:rFonts w:asciiTheme="minorHAnsi" w:hAnsiTheme="minorHAnsi"/>
          <w:noProof/>
          <w:sz w:val="22"/>
        </w:rPr>
        <w:tab/>
      </w:r>
      <w:r>
        <w:rPr>
          <w:rStyle w:val="Hyperlink"/>
        </w:rPr>
        <w:t>Platnost dokumentu</w:t>
      </w:r>
      <w:r>
        <w:rPr>
          <w:rStyle w:val="Hyperlink"/>
        </w:rPr>
        <w:tab/>
      </w:r>
      <w:r>
        <w:fldChar w:fldCharType="begin"/>
      </w:r>
      <w:r>
        <w:rPr>
          <w:rStyle w:val="Hyperlink"/>
        </w:rPr>
        <w:instrText xml:space="preserve"> PAGEREF _Toc256000004 \h </w:instrText>
      </w:r>
      <w:r>
        <w:fldChar w:fldCharType="separate"/>
      </w:r>
      <w:r>
        <w:rPr>
          <w:rStyle w:val="Hyperlink"/>
        </w:rPr>
        <w:t>4</w:t>
      </w:r>
      <w:r>
        <w:fldChar w:fldCharType="end"/>
      </w:r>
      <w:r>
        <w:fldChar w:fldCharType="end"/>
      </w:r>
    </w:p>
    <w:p>
      <w:pPr>
        <w:pStyle w:val="TOC1"/>
        <w:rPr>
          <w:rFonts w:asciiTheme="minorHAnsi" w:hAnsiTheme="minorHAnsi"/>
          <w:noProof/>
          <w:sz w:val="22"/>
        </w:rPr>
      </w:pPr>
      <w:r>
        <w:fldChar w:fldCharType="begin"/>
      </w:r>
      <w:r>
        <w:rPr>
          <w:rStyle w:val="Hyperlink"/>
        </w:rPr>
        <w:instrText xml:space="preserve"> HYPERLINK \l "_Toc256000006" </w:instrText>
      </w:r>
      <w:r>
        <w:fldChar w:fldCharType="separate"/>
      </w:r>
      <w:r>
        <w:rPr>
          <w:rStyle w:val="Hyperlink"/>
        </w:rPr>
        <w:t>2</w:t>
      </w:r>
      <w:r>
        <w:rPr>
          <w:rStyle w:val="Hyperlink"/>
          <w:rFonts w:asciiTheme="minorHAnsi" w:hAnsiTheme="minorHAnsi"/>
          <w:noProof/>
          <w:sz w:val="22"/>
        </w:rPr>
        <w:tab/>
      </w:r>
      <w:r>
        <w:rPr>
          <w:rStyle w:val="Hyperlink"/>
        </w:rPr>
        <w:t>Obecná charakteristika školy</w:t>
      </w:r>
      <w:r>
        <w:rPr>
          <w:rStyle w:val="Hyperlink"/>
        </w:rPr>
        <w:tab/>
      </w:r>
      <w:r>
        <w:fldChar w:fldCharType="begin"/>
      </w:r>
      <w:r>
        <w:rPr>
          <w:rStyle w:val="Hyperlink"/>
        </w:rPr>
        <w:instrText xml:space="preserve"> PAGEREF _Toc256000006 \h </w:instrText>
      </w:r>
      <w:r>
        <w:fldChar w:fldCharType="separate"/>
      </w:r>
      <w:r>
        <w:rPr>
          <w:rStyle w:val="Hyperlink"/>
        </w:rPr>
        <w:t>5</w:t>
      </w:r>
      <w:r>
        <w:fldChar w:fldCharType="end"/>
      </w:r>
      <w:r>
        <w:fldChar w:fldCharType="end"/>
      </w:r>
    </w:p>
    <w:p>
      <w:pPr>
        <w:pStyle w:val="TOC2"/>
        <w:rPr>
          <w:rFonts w:asciiTheme="minorHAnsi" w:hAnsiTheme="minorHAnsi"/>
          <w:noProof/>
          <w:sz w:val="22"/>
        </w:rPr>
      </w:pPr>
      <w:r>
        <w:fldChar w:fldCharType="begin"/>
      </w:r>
      <w:r>
        <w:rPr>
          <w:rStyle w:val="Hyperlink"/>
        </w:rPr>
        <w:instrText xml:space="preserve"> HYPERLINK \l "_Toc256000007" </w:instrText>
      </w:r>
      <w:r>
        <w:fldChar w:fldCharType="separate"/>
      </w:r>
      <w:r>
        <w:rPr>
          <w:rStyle w:val="Hyperlink"/>
        </w:rPr>
        <w:t>2.1</w:t>
      </w:r>
      <w:r>
        <w:rPr>
          <w:rStyle w:val="Hyperlink"/>
          <w:rFonts w:asciiTheme="minorHAnsi" w:hAnsiTheme="minorHAnsi"/>
          <w:noProof/>
          <w:sz w:val="22"/>
        </w:rPr>
        <w:tab/>
      </w:r>
      <w:r>
        <w:rPr>
          <w:rStyle w:val="Hyperlink"/>
        </w:rPr>
        <w:t>Velikost školy</w:t>
      </w:r>
      <w:r>
        <w:rPr>
          <w:rStyle w:val="Hyperlink"/>
        </w:rPr>
        <w:tab/>
      </w:r>
      <w:r>
        <w:fldChar w:fldCharType="begin"/>
      </w:r>
      <w:r>
        <w:rPr>
          <w:rStyle w:val="Hyperlink"/>
        </w:rPr>
        <w:instrText xml:space="preserve"> PAGEREF _Toc256000007 \h </w:instrText>
      </w:r>
      <w:r>
        <w:fldChar w:fldCharType="separate"/>
      </w:r>
      <w:r>
        <w:rPr>
          <w:rStyle w:val="Hyperlink"/>
        </w:rPr>
        <w:t>5</w:t>
      </w:r>
      <w:r>
        <w:fldChar w:fldCharType="end"/>
      </w:r>
      <w:r>
        <w:fldChar w:fldCharType="end"/>
      </w:r>
    </w:p>
    <w:p>
      <w:pPr>
        <w:pStyle w:val="TOC2"/>
        <w:rPr>
          <w:rFonts w:asciiTheme="minorHAnsi" w:hAnsiTheme="minorHAnsi"/>
          <w:noProof/>
          <w:sz w:val="22"/>
        </w:rPr>
      </w:pPr>
      <w:r>
        <w:fldChar w:fldCharType="begin"/>
      </w:r>
      <w:r>
        <w:rPr>
          <w:rStyle w:val="Hyperlink"/>
        </w:rPr>
        <w:instrText xml:space="preserve"> HYPERLINK \l "_Toc256000008" </w:instrText>
      </w:r>
      <w:r>
        <w:fldChar w:fldCharType="separate"/>
      </w:r>
      <w:r>
        <w:rPr>
          <w:rStyle w:val="Hyperlink"/>
        </w:rPr>
        <w:t>2.2</w:t>
      </w:r>
      <w:r>
        <w:rPr>
          <w:rStyle w:val="Hyperlink"/>
          <w:rFonts w:asciiTheme="minorHAnsi" w:hAnsiTheme="minorHAnsi"/>
          <w:noProof/>
          <w:sz w:val="22"/>
        </w:rPr>
        <w:tab/>
      </w:r>
      <w:r>
        <w:rPr>
          <w:rStyle w:val="Hyperlink"/>
        </w:rPr>
        <w:t>Lokalita školy</w:t>
      </w:r>
      <w:r>
        <w:rPr>
          <w:rStyle w:val="Hyperlink"/>
        </w:rPr>
        <w:tab/>
      </w:r>
      <w:r>
        <w:fldChar w:fldCharType="begin"/>
      </w:r>
      <w:r>
        <w:rPr>
          <w:rStyle w:val="Hyperlink"/>
        </w:rPr>
        <w:instrText xml:space="preserve"> PAGEREF _Toc256000008 \h </w:instrText>
      </w:r>
      <w:r>
        <w:fldChar w:fldCharType="separate"/>
      </w:r>
      <w:r>
        <w:rPr>
          <w:rStyle w:val="Hyperlink"/>
        </w:rPr>
        <w:t>5</w:t>
      </w:r>
      <w:r>
        <w:fldChar w:fldCharType="end"/>
      </w:r>
      <w:r>
        <w:fldChar w:fldCharType="end"/>
      </w:r>
    </w:p>
    <w:p>
      <w:pPr>
        <w:pStyle w:val="TOC2"/>
        <w:rPr>
          <w:rFonts w:asciiTheme="minorHAnsi" w:hAnsiTheme="minorHAnsi"/>
          <w:noProof/>
          <w:sz w:val="22"/>
        </w:rPr>
      </w:pPr>
      <w:r>
        <w:fldChar w:fldCharType="begin"/>
      </w:r>
      <w:r>
        <w:rPr>
          <w:rStyle w:val="Hyperlink"/>
        </w:rPr>
        <w:instrText xml:space="preserve"> HYPERLINK \l "_Toc256000009" </w:instrText>
      </w:r>
      <w:r>
        <w:fldChar w:fldCharType="separate"/>
      </w:r>
      <w:r>
        <w:rPr>
          <w:rStyle w:val="Hyperlink"/>
        </w:rPr>
        <w:t>2.3</w:t>
      </w:r>
      <w:r>
        <w:rPr>
          <w:rStyle w:val="Hyperlink"/>
          <w:rFonts w:asciiTheme="minorHAnsi" w:hAnsiTheme="minorHAnsi"/>
          <w:noProof/>
          <w:sz w:val="22"/>
        </w:rPr>
        <w:tab/>
      </w:r>
      <w:r>
        <w:rPr>
          <w:rStyle w:val="Hyperlink"/>
        </w:rPr>
        <w:t>Charakter a specifika budovy</w:t>
      </w:r>
      <w:r>
        <w:rPr>
          <w:rStyle w:val="Hyperlink"/>
        </w:rPr>
        <w:tab/>
      </w:r>
      <w:r>
        <w:fldChar w:fldCharType="begin"/>
      </w:r>
      <w:r>
        <w:rPr>
          <w:rStyle w:val="Hyperlink"/>
        </w:rPr>
        <w:instrText xml:space="preserve"> PAGEREF _Toc256000009 \h </w:instrText>
      </w:r>
      <w:r>
        <w:fldChar w:fldCharType="separate"/>
      </w:r>
      <w:r>
        <w:rPr>
          <w:rStyle w:val="Hyperlink"/>
        </w:rPr>
        <w:t>5</w:t>
      </w:r>
      <w:r>
        <w:fldChar w:fldCharType="end"/>
      </w:r>
      <w:r>
        <w:fldChar w:fldCharType="end"/>
      </w:r>
    </w:p>
    <w:p>
      <w:pPr>
        <w:pStyle w:val="TOC1"/>
        <w:rPr>
          <w:rFonts w:asciiTheme="minorHAnsi" w:hAnsiTheme="minorHAnsi"/>
          <w:noProof/>
          <w:sz w:val="22"/>
        </w:rPr>
      </w:pPr>
      <w:r>
        <w:fldChar w:fldCharType="begin"/>
      </w:r>
      <w:r>
        <w:rPr>
          <w:rStyle w:val="Hyperlink"/>
        </w:rPr>
        <w:instrText xml:space="preserve"> HYPERLINK \l "_Toc256000010" </w:instrText>
      </w:r>
      <w:r>
        <w:fldChar w:fldCharType="separate"/>
      </w:r>
      <w:r>
        <w:rPr>
          <w:rStyle w:val="Hyperlink"/>
        </w:rPr>
        <w:t>3</w:t>
      </w:r>
      <w:r>
        <w:rPr>
          <w:rStyle w:val="Hyperlink"/>
          <w:rFonts w:asciiTheme="minorHAnsi" w:hAnsiTheme="minorHAnsi"/>
          <w:noProof/>
          <w:sz w:val="22"/>
        </w:rPr>
        <w:tab/>
      </w:r>
      <w:r>
        <w:rPr>
          <w:rStyle w:val="Hyperlink"/>
        </w:rPr>
        <w:t>Podmínky vzdělávání</w:t>
      </w:r>
      <w:r>
        <w:rPr>
          <w:rStyle w:val="Hyperlink"/>
        </w:rPr>
        <w:tab/>
      </w:r>
      <w:r>
        <w:fldChar w:fldCharType="begin"/>
      </w:r>
      <w:r>
        <w:rPr>
          <w:rStyle w:val="Hyperlink"/>
        </w:rPr>
        <w:instrText xml:space="preserve"> PAGEREF _Toc256000010 \h </w:instrText>
      </w:r>
      <w:r>
        <w:fldChar w:fldCharType="separate"/>
      </w:r>
      <w:r>
        <w:rPr>
          <w:rStyle w:val="Hyperlink"/>
        </w:rPr>
        <w:t>6</w:t>
      </w:r>
      <w:r>
        <w:fldChar w:fldCharType="end"/>
      </w:r>
      <w:r>
        <w:fldChar w:fldCharType="end"/>
      </w:r>
    </w:p>
    <w:p>
      <w:pPr>
        <w:pStyle w:val="TOC2"/>
        <w:rPr>
          <w:rFonts w:asciiTheme="minorHAnsi" w:hAnsiTheme="minorHAnsi"/>
          <w:noProof/>
          <w:sz w:val="22"/>
        </w:rPr>
      </w:pPr>
      <w:r>
        <w:fldChar w:fldCharType="begin"/>
      </w:r>
      <w:r>
        <w:rPr>
          <w:rStyle w:val="Hyperlink"/>
        </w:rPr>
        <w:instrText xml:space="preserve"> HYPERLINK \l "_Toc256000011" </w:instrText>
      </w:r>
      <w:r>
        <w:fldChar w:fldCharType="separate"/>
      </w:r>
      <w:r>
        <w:rPr>
          <w:rStyle w:val="Hyperlink"/>
        </w:rPr>
        <w:t>3.1</w:t>
      </w:r>
      <w:r>
        <w:rPr>
          <w:rStyle w:val="Hyperlink"/>
          <w:rFonts w:asciiTheme="minorHAnsi" w:hAnsiTheme="minorHAnsi"/>
          <w:noProof/>
          <w:sz w:val="22"/>
        </w:rPr>
        <w:tab/>
      </w:r>
      <w:r>
        <w:rPr>
          <w:rStyle w:val="Hyperlink"/>
        </w:rPr>
        <w:t>Věcné podmínky</w:t>
      </w:r>
      <w:r>
        <w:rPr>
          <w:rStyle w:val="Hyperlink"/>
        </w:rPr>
        <w:tab/>
      </w:r>
      <w:r>
        <w:fldChar w:fldCharType="begin"/>
      </w:r>
      <w:r>
        <w:rPr>
          <w:rStyle w:val="Hyperlink"/>
        </w:rPr>
        <w:instrText xml:space="preserve"> PAGEREF _Toc256000011 \h </w:instrText>
      </w:r>
      <w:r>
        <w:fldChar w:fldCharType="separate"/>
      </w:r>
      <w:r>
        <w:rPr>
          <w:rStyle w:val="Hyperlink"/>
        </w:rPr>
        <w:t>6</w:t>
      </w:r>
      <w:r>
        <w:fldChar w:fldCharType="end"/>
      </w:r>
      <w:r>
        <w:fldChar w:fldCharType="end"/>
      </w:r>
    </w:p>
    <w:p>
      <w:pPr>
        <w:pStyle w:val="TOC2"/>
        <w:rPr>
          <w:rFonts w:asciiTheme="minorHAnsi" w:hAnsiTheme="minorHAnsi"/>
          <w:noProof/>
          <w:sz w:val="22"/>
        </w:rPr>
      </w:pPr>
      <w:r>
        <w:fldChar w:fldCharType="begin"/>
      </w:r>
      <w:r>
        <w:rPr>
          <w:rStyle w:val="Hyperlink"/>
        </w:rPr>
        <w:instrText xml:space="preserve"> HYPERLINK \l "_Toc256000012" </w:instrText>
      </w:r>
      <w:r>
        <w:fldChar w:fldCharType="separate"/>
      </w:r>
      <w:r>
        <w:rPr>
          <w:rStyle w:val="Hyperlink"/>
        </w:rPr>
        <w:t>3.2</w:t>
      </w:r>
      <w:r>
        <w:rPr>
          <w:rStyle w:val="Hyperlink"/>
          <w:rFonts w:asciiTheme="minorHAnsi" w:hAnsiTheme="minorHAnsi"/>
          <w:noProof/>
          <w:sz w:val="22"/>
        </w:rPr>
        <w:tab/>
      </w:r>
      <w:r>
        <w:rPr>
          <w:rStyle w:val="Hyperlink"/>
        </w:rPr>
        <w:t>Životospráva</w:t>
      </w:r>
      <w:r>
        <w:rPr>
          <w:rStyle w:val="Hyperlink"/>
        </w:rPr>
        <w:tab/>
      </w:r>
      <w:r>
        <w:fldChar w:fldCharType="begin"/>
      </w:r>
      <w:r>
        <w:rPr>
          <w:rStyle w:val="Hyperlink"/>
        </w:rPr>
        <w:instrText xml:space="preserve"> PAGEREF _Toc256000012 \h </w:instrText>
      </w:r>
      <w:r>
        <w:fldChar w:fldCharType="separate"/>
      </w:r>
      <w:r>
        <w:rPr>
          <w:rStyle w:val="Hyperlink"/>
        </w:rPr>
        <w:t>6</w:t>
      </w:r>
      <w:r>
        <w:fldChar w:fldCharType="end"/>
      </w:r>
      <w:r>
        <w:fldChar w:fldCharType="end"/>
      </w:r>
    </w:p>
    <w:p>
      <w:pPr>
        <w:pStyle w:val="TOC2"/>
        <w:rPr>
          <w:rFonts w:asciiTheme="minorHAnsi" w:hAnsiTheme="minorHAnsi"/>
          <w:noProof/>
          <w:sz w:val="22"/>
        </w:rPr>
      </w:pPr>
      <w:r>
        <w:fldChar w:fldCharType="begin"/>
      </w:r>
      <w:r>
        <w:rPr>
          <w:rStyle w:val="Hyperlink"/>
        </w:rPr>
        <w:instrText xml:space="preserve"> HYPERLINK \l "_Toc256000013" </w:instrText>
      </w:r>
      <w:r>
        <w:fldChar w:fldCharType="separate"/>
      </w:r>
      <w:r>
        <w:rPr>
          <w:rStyle w:val="Hyperlink"/>
        </w:rPr>
        <w:t>3.3</w:t>
      </w:r>
      <w:r>
        <w:rPr>
          <w:rStyle w:val="Hyperlink"/>
          <w:rFonts w:asciiTheme="minorHAnsi" w:hAnsiTheme="minorHAnsi"/>
          <w:noProof/>
          <w:sz w:val="22"/>
        </w:rPr>
        <w:tab/>
      </w:r>
      <w:r>
        <w:rPr>
          <w:rStyle w:val="Hyperlink"/>
        </w:rPr>
        <w:t>Psychosociální podmínky</w:t>
      </w:r>
      <w:r>
        <w:rPr>
          <w:rStyle w:val="Hyperlink"/>
        </w:rPr>
        <w:tab/>
      </w:r>
      <w:r>
        <w:fldChar w:fldCharType="begin"/>
      </w:r>
      <w:r>
        <w:rPr>
          <w:rStyle w:val="Hyperlink"/>
        </w:rPr>
        <w:instrText xml:space="preserve"> PAGEREF _Toc256000013 \h </w:instrText>
      </w:r>
      <w:r>
        <w:fldChar w:fldCharType="separate"/>
      </w:r>
      <w:r>
        <w:rPr>
          <w:rStyle w:val="Hyperlink"/>
        </w:rPr>
        <w:t>7</w:t>
      </w:r>
      <w:r>
        <w:fldChar w:fldCharType="end"/>
      </w:r>
      <w:r>
        <w:fldChar w:fldCharType="end"/>
      </w:r>
    </w:p>
    <w:p>
      <w:pPr>
        <w:pStyle w:val="TOC2"/>
        <w:rPr>
          <w:rFonts w:asciiTheme="minorHAnsi" w:hAnsiTheme="minorHAnsi"/>
          <w:noProof/>
          <w:sz w:val="22"/>
        </w:rPr>
      </w:pPr>
      <w:r>
        <w:fldChar w:fldCharType="begin"/>
      </w:r>
      <w:r>
        <w:rPr>
          <w:rStyle w:val="Hyperlink"/>
        </w:rPr>
        <w:instrText xml:space="preserve"> HYPERLINK \l "_Toc256000014" </w:instrText>
      </w:r>
      <w:r>
        <w:fldChar w:fldCharType="separate"/>
      </w:r>
      <w:r>
        <w:rPr>
          <w:rStyle w:val="Hyperlink"/>
        </w:rPr>
        <w:t>3.4</w:t>
      </w:r>
      <w:r>
        <w:rPr>
          <w:rStyle w:val="Hyperlink"/>
          <w:rFonts w:asciiTheme="minorHAnsi" w:hAnsiTheme="minorHAnsi"/>
          <w:noProof/>
          <w:sz w:val="22"/>
        </w:rPr>
        <w:tab/>
      </w:r>
      <w:r>
        <w:rPr>
          <w:rStyle w:val="Hyperlink"/>
        </w:rPr>
        <w:t>Organizace chodu</w:t>
      </w:r>
      <w:r>
        <w:rPr>
          <w:rStyle w:val="Hyperlink"/>
        </w:rPr>
        <w:tab/>
      </w:r>
      <w:r>
        <w:fldChar w:fldCharType="begin"/>
      </w:r>
      <w:r>
        <w:rPr>
          <w:rStyle w:val="Hyperlink"/>
        </w:rPr>
        <w:instrText xml:space="preserve"> PAGEREF _Toc256000014 \h </w:instrText>
      </w:r>
      <w:r>
        <w:fldChar w:fldCharType="separate"/>
      </w:r>
      <w:r>
        <w:rPr>
          <w:rStyle w:val="Hyperlink"/>
        </w:rPr>
        <w:t>8</w:t>
      </w:r>
      <w:r>
        <w:fldChar w:fldCharType="end"/>
      </w:r>
      <w:r>
        <w:fldChar w:fldCharType="end"/>
      </w:r>
    </w:p>
    <w:p>
      <w:pPr>
        <w:pStyle w:val="TOC2"/>
        <w:rPr>
          <w:rFonts w:asciiTheme="minorHAnsi" w:hAnsiTheme="minorHAnsi"/>
          <w:noProof/>
          <w:sz w:val="22"/>
        </w:rPr>
      </w:pPr>
      <w:r>
        <w:fldChar w:fldCharType="begin"/>
      </w:r>
      <w:r>
        <w:rPr>
          <w:rStyle w:val="Hyperlink"/>
        </w:rPr>
        <w:instrText xml:space="preserve"> HYPERLINK \l "_Toc256000015" </w:instrText>
      </w:r>
      <w:r>
        <w:fldChar w:fldCharType="separate"/>
      </w:r>
      <w:r>
        <w:rPr>
          <w:rStyle w:val="Hyperlink"/>
        </w:rPr>
        <w:t>3.5</w:t>
      </w:r>
      <w:r>
        <w:rPr>
          <w:rStyle w:val="Hyperlink"/>
          <w:rFonts w:asciiTheme="minorHAnsi" w:hAnsiTheme="minorHAnsi"/>
          <w:noProof/>
          <w:sz w:val="22"/>
        </w:rPr>
        <w:tab/>
      </w:r>
      <w:r>
        <w:rPr>
          <w:rStyle w:val="Hyperlink"/>
        </w:rPr>
        <w:t>Řízení mateřské školy</w:t>
      </w:r>
      <w:r>
        <w:rPr>
          <w:rStyle w:val="Hyperlink"/>
        </w:rPr>
        <w:tab/>
      </w:r>
      <w:r>
        <w:fldChar w:fldCharType="begin"/>
      </w:r>
      <w:r>
        <w:rPr>
          <w:rStyle w:val="Hyperlink"/>
        </w:rPr>
        <w:instrText xml:space="preserve"> PAGEREF _Toc256000015 \h </w:instrText>
      </w:r>
      <w:r>
        <w:fldChar w:fldCharType="separate"/>
      </w:r>
      <w:r>
        <w:rPr>
          <w:rStyle w:val="Hyperlink"/>
        </w:rPr>
        <w:t>9</w:t>
      </w:r>
      <w:r>
        <w:fldChar w:fldCharType="end"/>
      </w:r>
      <w:r>
        <w:fldChar w:fldCharType="end"/>
      </w:r>
    </w:p>
    <w:p>
      <w:pPr>
        <w:pStyle w:val="TOC2"/>
        <w:rPr>
          <w:rFonts w:asciiTheme="minorHAnsi" w:hAnsiTheme="minorHAnsi"/>
          <w:noProof/>
          <w:sz w:val="22"/>
        </w:rPr>
      </w:pPr>
      <w:r>
        <w:fldChar w:fldCharType="begin"/>
      </w:r>
      <w:r>
        <w:rPr>
          <w:rStyle w:val="Hyperlink"/>
        </w:rPr>
        <w:instrText xml:space="preserve"> HYPERLINK \l "_Toc256000016" </w:instrText>
      </w:r>
      <w:r>
        <w:fldChar w:fldCharType="separate"/>
      </w:r>
      <w:r>
        <w:rPr>
          <w:rStyle w:val="Hyperlink"/>
        </w:rPr>
        <w:t>3.6</w:t>
      </w:r>
      <w:r>
        <w:rPr>
          <w:rStyle w:val="Hyperlink"/>
          <w:rFonts w:asciiTheme="minorHAnsi" w:hAnsiTheme="minorHAnsi"/>
          <w:noProof/>
          <w:sz w:val="22"/>
        </w:rPr>
        <w:tab/>
      </w:r>
      <w:r>
        <w:rPr>
          <w:rStyle w:val="Hyperlink"/>
        </w:rPr>
        <w:t>Personální a pedagogické zajištění</w:t>
      </w:r>
      <w:r>
        <w:rPr>
          <w:rStyle w:val="Hyperlink"/>
        </w:rPr>
        <w:tab/>
      </w:r>
      <w:r>
        <w:fldChar w:fldCharType="begin"/>
      </w:r>
      <w:r>
        <w:rPr>
          <w:rStyle w:val="Hyperlink"/>
        </w:rPr>
        <w:instrText xml:space="preserve"> PAGEREF _Toc256000016 \h </w:instrText>
      </w:r>
      <w:r>
        <w:fldChar w:fldCharType="separate"/>
      </w:r>
      <w:r>
        <w:rPr>
          <w:rStyle w:val="Hyperlink"/>
        </w:rPr>
        <w:t>10</w:t>
      </w:r>
      <w:r>
        <w:fldChar w:fldCharType="end"/>
      </w:r>
      <w:r>
        <w:fldChar w:fldCharType="end"/>
      </w:r>
    </w:p>
    <w:p>
      <w:pPr>
        <w:pStyle w:val="TOC2"/>
        <w:rPr>
          <w:rFonts w:asciiTheme="minorHAnsi" w:hAnsiTheme="minorHAnsi"/>
          <w:noProof/>
          <w:sz w:val="22"/>
        </w:rPr>
      </w:pPr>
      <w:r>
        <w:fldChar w:fldCharType="begin"/>
      </w:r>
      <w:r>
        <w:rPr>
          <w:rStyle w:val="Hyperlink"/>
        </w:rPr>
        <w:instrText xml:space="preserve"> HYPERLINK \l "_Toc256000017" </w:instrText>
      </w:r>
      <w:r>
        <w:fldChar w:fldCharType="separate"/>
      </w:r>
      <w:r>
        <w:rPr>
          <w:rStyle w:val="Hyperlink"/>
        </w:rPr>
        <w:t>3.7</w:t>
      </w:r>
      <w:r>
        <w:rPr>
          <w:rStyle w:val="Hyperlink"/>
          <w:rFonts w:asciiTheme="minorHAnsi" w:hAnsiTheme="minorHAnsi"/>
          <w:noProof/>
          <w:sz w:val="22"/>
        </w:rPr>
        <w:tab/>
      </w:r>
      <w:r>
        <w:rPr>
          <w:rStyle w:val="Hyperlink"/>
        </w:rPr>
        <w:t>Spoluúčast rodičů</w:t>
      </w:r>
      <w:r>
        <w:rPr>
          <w:rStyle w:val="Hyperlink"/>
        </w:rPr>
        <w:tab/>
      </w:r>
      <w:r>
        <w:fldChar w:fldCharType="begin"/>
      </w:r>
      <w:r>
        <w:rPr>
          <w:rStyle w:val="Hyperlink"/>
        </w:rPr>
        <w:instrText xml:space="preserve"> PAGEREF _Toc256000017 \h </w:instrText>
      </w:r>
      <w:r>
        <w:fldChar w:fldCharType="separate"/>
      </w:r>
      <w:r>
        <w:rPr>
          <w:rStyle w:val="Hyperlink"/>
        </w:rPr>
        <w:t>10</w:t>
      </w:r>
      <w:r>
        <w:fldChar w:fldCharType="end"/>
      </w:r>
      <w:r>
        <w:fldChar w:fldCharType="end"/>
      </w:r>
    </w:p>
    <w:p>
      <w:pPr>
        <w:pStyle w:val="TOC2"/>
        <w:rPr>
          <w:rFonts w:asciiTheme="minorHAnsi" w:hAnsiTheme="minorHAnsi"/>
          <w:noProof/>
          <w:sz w:val="22"/>
        </w:rPr>
      </w:pPr>
      <w:r>
        <w:fldChar w:fldCharType="begin"/>
      </w:r>
      <w:r>
        <w:rPr>
          <w:rStyle w:val="Hyperlink"/>
        </w:rPr>
        <w:instrText xml:space="preserve"> HYPERLINK \l "_Toc256000018" </w:instrText>
      </w:r>
      <w:r>
        <w:fldChar w:fldCharType="separate"/>
      </w:r>
      <w:r>
        <w:rPr>
          <w:rStyle w:val="Hyperlink"/>
        </w:rPr>
        <w:t>3.8</w:t>
      </w:r>
      <w:r>
        <w:rPr>
          <w:rStyle w:val="Hyperlink"/>
          <w:rFonts w:asciiTheme="minorHAnsi" w:hAnsiTheme="minorHAnsi"/>
          <w:noProof/>
          <w:sz w:val="22"/>
        </w:rPr>
        <w:tab/>
      </w:r>
      <w:r>
        <w:rPr>
          <w:rStyle w:val="Hyperlink"/>
        </w:rPr>
        <w:t>Podmínky pro vzdělávání dětí se speciálními vzdělávacími potřebami</w:t>
      </w:r>
      <w:r>
        <w:rPr>
          <w:rStyle w:val="Hyperlink"/>
        </w:rPr>
        <w:tab/>
      </w:r>
      <w:r>
        <w:fldChar w:fldCharType="begin"/>
      </w:r>
      <w:r>
        <w:rPr>
          <w:rStyle w:val="Hyperlink"/>
        </w:rPr>
        <w:instrText xml:space="preserve"> PAGEREF _Toc256000018 \h </w:instrText>
      </w:r>
      <w:r>
        <w:fldChar w:fldCharType="separate"/>
      </w:r>
      <w:r>
        <w:rPr>
          <w:rStyle w:val="Hyperlink"/>
        </w:rPr>
        <w:t>11</w:t>
      </w:r>
      <w:r>
        <w:fldChar w:fldCharType="end"/>
      </w:r>
      <w:r>
        <w:fldChar w:fldCharType="end"/>
      </w:r>
    </w:p>
    <w:p>
      <w:pPr>
        <w:pStyle w:val="TOC2"/>
        <w:rPr>
          <w:rFonts w:asciiTheme="minorHAnsi" w:hAnsiTheme="minorHAnsi"/>
          <w:noProof/>
          <w:sz w:val="22"/>
        </w:rPr>
      </w:pPr>
      <w:r>
        <w:fldChar w:fldCharType="begin"/>
      </w:r>
      <w:r>
        <w:rPr>
          <w:rStyle w:val="Hyperlink"/>
        </w:rPr>
        <w:instrText xml:space="preserve"> HYPERLINK \l "_Toc256000019" </w:instrText>
      </w:r>
      <w:r>
        <w:fldChar w:fldCharType="separate"/>
      </w:r>
      <w:r>
        <w:rPr>
          <w:rStyle w:val="Hyperlink"/>
        </w:rPr>
        <w:t>3.9</w:t>
      </w:r>
      <w:r>
        <w:rPr>
          <w:rStyle w:val="Hyperlink"/>
          <w:rFonts w:asciiTheme="minorHAnsi" w:hAnsiTheme="minorHAnsi"/>
          <w:noProof/>
          <w:sz w:val="22"/>
        </w:rPr>
        <w:tab/>
      </w:r>
      <w:r>
        <w:rPr>
          <w:rStyle w:val="Hyperlink"/>
        </w:rPr>
        <w:t>Podmínky vzdělávání dětí nadaných</w:t>
      </w:r>
      <w:r>
        <w:rPr>
          <w:rStyle w:val="Hyperlink"/>
        </w:rPr>
        <w:tab/>
      </w:r>
      <w:r>
        <w:fldChar w:fldCharType="begin"/>
      </w:r>
      <w:r>
        <w:rPr>
          <w:rStyle w:val="Hyperlink"/>
        </w:rPr>
        <w:instrText xml:space="preserve"> PAGEREF _Toc256000019 \h </w:instrText>
      </w:r>
      <w:r>
        <w:fldChar w:fldCharType="separate"/>
      </w:r>
      <w:r>
        <w:rPr>
          <w:rStyle w:val="Hyperlink"/>
        </w:rPr>
        <w:t>11</w:t>
      </w:r>
      <w:r>
        <w:fldChar w:fldCharType="end"/>
      </w:r>
      <w:r>
        <w:fldChar w:fldCharType="end"/>
      </w:r>
    </w:p>
    <w:p>
      <w:pPr>
        <w:pStyle w:val="TOC2"/>
        <w:rPr>
          <w:rFonts w:asciiTheme="minorHAnsi" w:hAnsiTheme="minorHAnsi"/>
          <w:noProof/>
          <w:sz w:val="22"/>
        </w:rPr>
      </w:pPr>
      <w:r>
        <w:fldChar w:fldCharType="begin"/>
      </w:r>
      <w:r>
        <w:rPr>
          <w:rStyle w:val="Hyperlink"/>
        </w:rPr>
        <w:instrText xml:space="preserve"> HYPERLINK \l "_Toc256000020" </w:instrText>
      </w:r>
      <w:r>
        <w:fldChar w:fldCharType="separate"/>
      </w:r>
      <w:r>
        <w:rPr>
          <w:rStyle w:val="Hyperlink"/>
        </w:rPr>
        <w:t>3.10</w:t>
      </w:r>
      <w:r>
        <w:rPr>
          <w:rStyle w:val="Hyperlink"/>
          <w:rFonts w:asciiTheme="minorHAnsi" w:hAnsiTheme="minorHAnsi"/>
          <w:noProof/>
          <w:sz w:val="22"/>
        </w:rPr>
        <w:tab/>
      </w:r>
      <w:r>
        <w:rPr>
          <w:rStyle w:val="Hyperlink"/>
        </w:rPr>
        <w:t>Podmínky vzdělávání dětí od dvou do tří let</w:t>
      </w:r>
      <w:r>
        <w:rPr>
          <w:rStyle w:val="Hyperlink"/>
        </w:rPr>
        <w:tab/>
      </w:r>
      <w:r>
        <w:fldChar w:fldCharType="begin"/>
      </w:r>
      <w:r>
        <w:rPr>
          <w:rStyle w:val="Hyperlink"/>
        </w:rPr>
        <w:instrText xml:space="preserve"> PAGEREF _Toc256000020 \h </w:instrText>
      </w:r>
      <w:r>
        <w:fldChar w:fldCharType="separate"/>
      </w:r>
      <w:r>
        <w:rPr>
          <w:rStyle w:val="Hyperlink"/>
        </w:rPr>
        <w:t>12</w:t>
      </w:r>
      <w:r>
        <w:fldChar w:fldCharType="end"/>
      </w:r>
      <w:r>
        <w:fldChar w:fldCharType="end"/>
      </w:r>
    </w:p>
    <w:p>
      <w:pPr>
        <w:pStyle w:val="TOC1"/>
        <w:rPr>
          <w:rFonts w:asciiTheme="minorHAnsi" w:hAnsiTheme="minorHAnsi"/>
          <w:noProof/>
          <w:sz w:val="22"/>
        </w:rPr>
      </w:pPr>
      <w:r>
        <w:fldChar w:fldCharType="begin"/>
      </w:r>
      <w:r>
        <w:rPr>
          <w:rStyle w:val="Hyperlink"/>
        </w:rPr>
        <w:instrText xml:space="preserve"> HYPERLINK \l "_Toc256000022" </w:instrText>
      </w:r>
      <w:r>
        <w:fldChar w:fldCharType="separate"/>
      </w:r>
      <w:r>
        <w:rPr>
          <w:rStyle w:val="Hyperlink"/>
        </w:rPr>
        <w:t>4</w:t>
      </w:r>
      <w:r>
        <w:rPr>
          <w:rStyle w:val="Hyperlink"/>
          <w:rFonts w:asciiTheme="minorHAnsi" w:hAnsiTheme="minorHAnsi"/>
          <w:noProof/>
          <w:sz w:val="22"/>
        </w:rPr>
        <w:tab/>
      </w:r>
      <w:r>
        <w:rPr>
          <w:rStyle w:val="Hyperlink"/>
        </w:rPr>
        <w:t>Organizace vzdělávání</w:t>
      </w:r>
      <w:r>
        <w:rPr>
          <w:rStyle w:val="Hyperlink"/>
        </w:rPr>
        <w:tab/>
      </w:r>
      <w:r>
        <w:fldChar w:fldCharType="begin"/>
      </w:r>
      <w:r>
        <w:rPr>
          <w:rStyle w:val="Hyperlink"/>
        </w:rPr>
        <w:instrText xml:space="preserve"> PAGEREF _Toc256000022 \h </w:instrText>
      </w:r>
      <w:r>
        <w:fldChar w:fldCharType="separate"/>
      </w:r>
      <w:r>
        <w:rPr>
          <w:rStyle w:val="Hyperlink"/>
        </w:rPr>
        <w:t>13</w:t>
      </w:r>
      <w:r>
        <w:fldChar w:fldCharType="end"/>
      </w:r>
      <w:r>
        <w:fldChar w:fldCharType="end"/>
      </w:r>
    </w:p>
    <w:p>
      <w:pPr>
        <w:pStyle w:val="TOC1"/>
        <w:rPr>
          <w:rFonts w:asciiTheme="minorHAnsi" w:hAnsiTheme="minorHAnsi"/>
          <w:noProof/>
          <w:sz w:val="22"/>
        </w:rPr>
      </w:pPr>
      <w:r>
        <w:fldChar w:fldCharType="begin"/>
      </w:r>
      <w:r>
        <w:rPr>
          <w:rStyle w:val="Hyperlink"/>
        </w:rPr>
        <w:instrText xml:space="preserve"> HYPERLINK \l "_Toc256000024" </w:instrText>
      </w:r>
      <w:r>
        <w:fldChar w:fldCharType="separate"/>
      </w:r>
      <w:r>
        <w:rPr>
          <w:rStyle w:val="Hyperlink"/>
        </w:rPr>
        <w:t>5</w:t>
      </w:r>
      <w:r>
        <w:rPr>
          <w:rStyle w:val="Hyperlink"/>
          <w:rFonts w:asciiTheme="minorHAnsi" w:hAnsiTheme="minorHAnsi"/>
          <w:noProof/>
          <w:sz w:val="22"/>
        </w:rPr>
        <w:tab/>
      </w:r>
      <w:r>
        <w:rPr>
          <w:rStyle w:val="Hyperlink"/>
        </w:rPr>
        <w:t>Charakteristika vzdělávacího programu</w:t>
      </w:r>
      <w:r>
        <w:rPr>
          <w:rStyle w:val="Hyperlink"/>
        </w:rPr>
        <w:tab/>
      </w:r>
      <w:r>
        <w:fldChar w:fldCharType="begin"/>
      </w:r>
      <w:r>
        <w:rPr>
          <w:rStyle w:val="Hyperlink"/>
        </w:rPr>
        <w:instrText xml:space="preserve"> PAGEREF _Toc256000024 \h </w:instrText>
      </w:r>
      <w:r>
        <w:fldChar w:fldCharType="separate"/>
      </w:r>
      <w:r>
        <w:rPr>
          <w:rStyle w:val="Hyperlink"/>
        </w:rPr>
        <w:t>15</w:t>
      </w:r>
      <w:r>
        <w:fldChar w:fldCharType="end"/>
      </w:r>
      <w:r>
        <w:fldChar w:fldCharType="end"/>
      </w:r>
    </w:p>
    <w:p>
      <w:pPr>
        <w:pStyle w:val="TOC2"/>
        <w:rPr>
          <w:rFonts w:asciiTheme="minorHAnsi" w:hAnsiTheme="minorHAnsi"/>
          <w:noProof/>
          <w:sz w:val="22"/>
        </w:rPr>
      </w:pPr>
      <w:r>
        <w:fldChar w:fldCharType="begin"/>
      </w:r>
      <w:r>
        <w:rPr>
          <w:rStyle w:val="Hyperlink"/>
        </w:rPr>
        <w:instrText xml:space="preserve"> HYPERLINK \l "_Toc256000025" </w:instrText>
      </w:r>
      <w:r>
        <w:fldChar w:fldCharType="separate"/>
      </w:r>
      <w:r>
        <w:rPr>
          <w:rStyle w:val="Hyperlink"/>
        </w:rPr>
        <w:t>5.1</w:t>
      </w:r>
      <w:r>
        <w:rPr>
          <w:rStyle w:val="Hyperlink"/>
          <w:rFonts w:asciiTheme="minorHAnsi" w:hAnsiTheme="minorHAnsi"/>
          <w:noProof/>
          <w:sz w:val="22"/>
        </w:rPr>
        <w:tab/>
      </w:r>
      <w:r>
        <w:rPr>
          <w:rStyle w:val="Hyperlink"/>
        </w:rPr>
        <w:t>Zaměření školy</w:t>
      </w:r>
      <w:r>
        <w:rPr>
          <w:rStyle w:val="Hyperlink"/>
        </w:rPr>
        <w:tab/>
      </w:r>
      <w:r>
        <w:fldChar w:fldCharType="begin"/>
      </w:r>
      <w:r>
        <w:rPr>
          <w:rStyle w:val="Hyperlink"/>
        </w:rPr>
        <w:instrText xml:space="preserve"> PAGEREF _Toc256000025 \h </w:instrText>
      </w:r>
      <w:r>
        <w:fldChar w:fldCharType="separate"/>
      </w:r>
      <w:r>
        <w:rPr>
          <w:rStyle w:val="Hyperlink"/>
        </w:rPr>
        <w:t>15</w:t>
      </w:r>
      <w:r>
        <w:fldChar w:fldCharType="end"/>
      </w:r>
      <w:r>
        <w:fldChar w:fldCharType="end"/>
      </w:r>
    </w:p>
    <w:p>
      <w:pPr>
        <w:pStyle w:val="TOC2"/>
        <w:rPr>
          <w:rFonts w:asciiTheme="minorHAnsi" w:hAnsiTheme="minorHAnsi"/>
          <w:noProof/>
          <w:sz w:val="22"/>
        </w:rPr>
      </w:pPr>
      <w:r>
        <w:fldChar w:fldCharType="begin"/>
      </w:r>
      <w:r>
        <w:rPr>
          <w:rStyle w:val="Hyperlink"/>
        </w:rPr>
        <w:instrText xml:space="preserve"> HYPERLINK \l "_Toc256000026" </w:instrText>
      </w:r>
      <w:r>
        <w:fldChar w:fldCharType="separate"/>
      </w:r>
      <w:r>
        <w:rPr>
          <w:rStyle w:val="Hyperlink"/>
        </w:rPr>
        <w:t>5.2</w:t>
      </w:r>
      <w:r>
        <w:rPr>
          <w:rStyle w:val="Hyperlink"/>
          <w:rFonts w:asciiTheme="minorHAnsi" w:hAnsiTheme="minorHAnsi"/>
          <w:noProof/>
          <w:sz w:val="22"/>
        </w:rPr>
        <w:tab/>
      </w:r>
      <w:r>
        <w:rPr>
          <w:rStyle w:val="Hyperlink"/>
        </w:rPr>
        <w:t>Dlouhodobé cíle vzdělávacího programu</w:t>
      </w:r>
      <w:r>
        <w:rPr>
          <w:rStyle w:val="Hyperlink"/>
        </w:rPr>
        <w:tab/>
      </w:r>
      <w:r>
        <w:fldChar w:fldCharType="begin"/>
      </w:r>
      <w:r>
        <w:rPr>
          <w:rStyle w:val="Hyperlink"/>
        </w:rPr>
        <w:instrText xml:space="preserve"> PAGEREF _Toc256000026 \h </w:instrText>
      </w:r>
      <w:r>
        <w:fldChar w:fldCharType="separate"/>
      </w:r>
      <w:r>
        <w:rPr>
          <w:rStyle w:val="Hyperlink"/>
        </w:rPr>
        <w:t>15</w:t>
      </w:r>
      <w:r>
        <w:fldChar w:fldCharType="end"/>
      </w:r>
      <w:r>
        <w:fldChar w:fldCharType="end"/>
      </w:r>
    </w:p>
    <w:p>
      <w:pPr>
        <w:pStyle w:val="TOC2"/>
        <w:rPr>
          <w:rFonts w:asciiTheme="minorHAnsi" w:hAnsiTheme="minorHAnsi"/>
          <w:noProof/>
          <w:sz w:val="22"/>
        </w:rPr>
      </w:pPr>
      <w:r>
        <w:fldChar w:fldCharType="begin"/>
      </w:r>
      <w:r>
        <w:rPr>
          <w:rStyle w:val="Hyperlink"/>
        </w:rPr>
        <w:instrText xml:space="preserve"> HYPERLINK \l "_Toc256000027" </w:instrText>
      </w:r>
      <w:r>
        <w:fldChar w:fldCharType="separate"/>
      </w:r>
      <w:r>
        <w:rPr>
          <w:rStyle w:val="Hyperlink"/>
        </w:rPr>
        <w:t>5.3</w:t>
      </w:r>
      <w:r>
        <w:rPr>
          <w:rStyle w:val="Hyperlink"/>
          <w:rFonts w:asciiTheme="minorHAnsi" w:hAnsiTheme="minorHAnsi"/>
          <w:noProof/>
          <w:sz w:val="22"/>
        </w:rPr>
        <w:tab/>
      </w:r>
      <w:r>
        <w:rPr>
          <w:rStyle w:val="Hyperlink"/>
        </w:rPr>
        <w:t>Metody a formy vzdělávání</w:t>
      </w:r>
      <w:r>
        <w:rPr>
          <w:rStyle w:val="Hyperlink"/>
        </w:rPr>
        <w:tab/>
      </w:r>
      <w:r>
        <w:fldChar w:fldCharType="begin"/>
      </w:r>
      <w:r>
        <w:rPr>
          <w:rStyle w:val="Hyperlink"/>
        </w:rPr>
        <w:instrText xml:space="preserve"> PAGEREF _Toc256000027 \h </w:instrText>
      </w:r>
      <w:r>
        <w:fldChar w:fldCharType="separate"/>
      </w:r>
      <w:r>
        <w:rPr>
          <w:rStyle w:val="Hyperlink"/>
        </w:rPr>
        <w:t>15</w:t>
      </w:r>
      <w:r>
        <w:fldChar w:fldCharType="end"/>
      </w:r>
      <w:r>
        <w:fldChar w:fldCharType="end"/>
      </w:r>
    </w:p>
    <w:p>
      <w:pPr>
        <w:pStyle w:val="TOC2"/>
        <w:rPr>
          <w:rFonts w:asciiTheme="minorHAnsi" w:hAnsiTheme="minorHAnsi"/>
          <w:noProof/>
          <w:sz w:val="22"/>
        </w:rPr>
      </w:pPr>
      <w:r>
        <w:fldChar w:fldCharType="begin"/>
      </w:r>
      <w:r>
        <w:rPr>
          <w:rStyle w:val="Hyperlink"/>
        </w:rPr>
        <w:instrText xml:space="preserve"> HYPERLINK \l "_Toc256000028" </w:instrText>
      </w:r>
      <w:r>
        <w:fldChar w:fldCharType="separate"/>
      </w:r>
      <w:r>
        <w:rPr>
          <w:rStyle w:val="Hyperlink"/>
        </w:rPr>
        <w:t>5.4</w:t>
      </w:r>
      <w:r>
        <w:rPr>
          <w:rStyle w:val="Hyperlink"/>
          <w:rFonts w:asciiTheme="minorHAnsi" w:hAnsiTheme="minorHAnsi"/>
          <w:noProof/>
          <w:sz w:val="22"/>
        </w:rPr>
        <w:tab/>
      </w:r>
      <w:r>
        <w:rPr>
          <w:rStyle w:val="Hyperlink"/>
        </w:rPr>
        <w:t>Zajištění vzdělávání dětí se speciálními vzdělávacími potřebami a dětí nadaných</w:t>
      </w:r>
      <w:r>
        <w:rPr>
          <w:rStyle w:val="Hyperlink"/>
        </w:rPr>
        <w:tab/>
      </w:r>
      <w:r>
        <w:fldChar w:fldCharType="begin"/>
      </w:r>
      <w:r>
        <w:rPr>
          <w:rStyle w:val="Hyperlink"/>
        </w:rPr>
        <w:instrText xml:space="preserve"> PAGEREF _Toc256000028 \h </w:instrText>
      </w:r>
      <w:r>
        <w:fldChar w:fldCharType="separate"/>
      </w:r>
      <w:r>
        <w:rPr>
          <w:rStyle w:val="Hyperlink"/>
        </w:rPr>
        <w:t>16</w:t>
      </w:r>
      <w:r>
        <w:fldChar w:fldCharType="end"/>
      </w:r>
      <w:r>
        <w:fldChar w:fldCharType="end"/>
      </w:r>
    </w:p>
    <w:p>
      <w:pPr>
        <w:pStyle w:val="TOC2"/>
        <w:rPr>
          <w:rFonts w:asciiTheme="minorHAnsi" w:hAnsiTheme="minorHAnsi"/>
          <w:noProof/>
          <w:sz w:val="22"/>
        </w:rPr>
      </w:pPr>
      <w:r>
        <w:fldChar w:fldCharType="begin"/>
      </w:r>
      <w:r>
        <w:rPr>
          <w:rStyle w:val="Hyperlink"/>
        </w:rPr>
        <w:instrText xml:space="preserve"> HYPERLINK \l "_Toc256000029" </w:instrText>
      </w:r>
      <w:r>
        <w:fldChar w:fldCharType="separate"/>
      </w:r>
      <w:r>
        <w:rPr>
          <w:rStyle w:val="Hyperlink"/>
        </w:rPr>
        <w:t>5.5</w:t>
      </w:r>
      <w:r>
        <w:rPr>
          <w:rStyle w:val="Hyperlink"/>
          <w:rFonts w:asciiTheme="minorHAnsi" w:hAnsiTheme="minorHAnsi"/>
          <w:noProof/>
          <w:sz w:val="22"/>
        </w:rPr>
        <w:tab/>
      </w:r>
      <w:r>
        <w:rPr>
          <w:rStyle w:val="Hyperlink"/>
        </w:rPr>
        <w:t>Zajištění průběhu vzdělávání dětí od dvou do tří let</w:t>
      </w:r>
      <w:r>
        <w:rPr>
          <w:rStyle w:val="Hyperlink"/>
        </w:rPr>
        <w:tab/>
      </w:r>
      <w:r>
        <w:fldChar w:fldCharType="begin"/>
      </w:r>
      <w:r>
        <w:rPr>
          <w:rStyle w:val="Hyperlink"/>
        </w:rPr>
        <w:instrText xml:space="preserve"> PAGEREF _Toc256000029 \h </w:instrText>
      </w:r>
      <w:r>
        <w:fldChar w:fldCharType="separate"/>
      </w:r>
      <w:r>
        <w:rPr>
          <w:rStyle w:val="Hyperlink"/>
        </w:rPr>
        <w:t>17</w:t>
      </w:r>
      <w:r>
        <w:fldChar w:fldCharType="end"/>
      </w:r>
      <w:r>
        <w:fldChar w:fldCharType="end"/>
      </w:r>
    </w:p>
    <w:p>
      <w:pPr>
        <w:pStyle w:val="TOC1"/>
        <w:rPr>
          <w:rFonts w:asciiTheme="minorHAnsi" w:hAnsiTheme="minorHAnsi"/>
          <w:noProof/>
          <w:sz w:val="22"/>
        </w:rPr>
      </w:pPr>
      <w:r>
        <w:fldChar w:fldCharType="begin"/>
      </w:r>
      <w:r>
        <w:rPr>
          <w:rStyle w:val="Hyperlink"/>
        </w:rPr>
        <w:instrText xml:space="preserve"> HYPERLINK \l "_Toc256000031" </w:instrText>
      </w:r>
      <w:r>
        <w:fldChar w:fldCharType="separate"/>
      </w:r>
      <w:r>
        <w:rPr>
          <w:rStyle w:val="Hyperlink"/>
        </w:rPr>
        <w:t>6</w:t>
      </w:r>
      <w:r>
        <w:rPr>
          <w:rStyle w:val="Hyperlink"/>
          <w:rFonts w:asciiTheme="minorHAnsi" w:hAnsiTheme="minorHAnsi"/>
          <w:noProof/>
          <w:sz w:val="22"/>
        </w:rPr>
        <w:tab/>
      </w:r>
      <w:r>
        <w:rPr>
          <w:rStyle w:val="Hyperlink"/>
        </w:rPr>
        <w:t>Vzdělávací obsah</w:t>
      </w:r>
      <w:r>
        <w:rPr>
          <w:rStyle w:val="Hyperlink"/>
        </w:rPr>
        <w:tab/>
      </w:r>
      <w:r>
        <w:fldChar w:fldCharType="begin"/>
      </w:r>
      <w:r>
        <w:rPr>
          <w:rStyle w:val="Hyperlink"/>
        </w:rPr>
        <w:instrText xml:space="preserve"> PAGEREF _Toc256000031 \h </w:instrText>
      </w:r>
      <w:r>
        <w:fldChar w:fldCharType="separate"/>
      </w:r>
      <w:r>
        <w:rPr>
          <w:rStyle w:val="Hyperlink"/>
        </w:rPr>
        <w:t>18</w:t>
      </w:r>
      <w:r>
        <w:fldChar w:fldCharType="end"/>
      </w:r>
      <w:r>
        <w:fldChar w:fldCharType="end"/>
      </w:r>
    </w:p>
    <w:p>
      <w:pPr>
        <w:pStyle w:val="TOC2"/>
        <w:rPr>
          <w:rFonts w:asciiTheme="minorHAnsi" w:hAnsiTheme="minorHAnsi"/>
          <w:noProof/>
          <w:sz w:val="22"/>
        </w:rPr>
      </w:pPr>
      <w:r>
        <w:fldChar w:fldCharType="begin"/>
      </w:r>
      <w:r>
        <w:rPr>
          <w:rStyle w:val="Hyperlink"/>
        </w:rPr>
        <w:instrText xml:space="preserve"> HYPERLINK \l "_Toc256000032" </w:instrText>
      </w:r>
      <w:r>
        <w:fldChar w:fldCharType="separate"/>
      </w:r>
      <w:r>
        <w:rPr>
          <w:rStyle w:val="Hyperlink"/>
        </w:rPr>
        <w:t>6.1</w:t>
      </w:r>
      <w:r>
        <w:rPr>
          <w:rStyle w:val="Hyperlink"/>
          <w:rFonts w:asciiTheme="minorHAnsi" w:hAnsiTheme="minorHAnsi"/>
          <w:noProof/>
          <w:sz w:val="22"/>
        </w:rPr>
        <w:tab/>
      </w:r>
      <w:r>
        <w:rPr>
          <w:rStyle w:val="Hyperlink"/>
        </w:rPr>
        <w:t>Integrované bloky</w:t>
      </w:r>
      <w:r>
        <w:rPr>
          <w:rStyle w:val="Hyperlink"/>
        </w:rPr>
        <w:tab/>
      </w:r>
      <w:r>
        <w:fldChar w:fldCharType="begin"/>
      </w:r>
      <w:r>
        <w:rPr>
          <w:rStyle w:val="Hyperlink"/>
        </w:rPr>
        <w:instrText xml:space="preserve"> PAGEREF _Toc256000032 \h </w:instrText>
      </w:r>
      <w:r>
        <w:fldChar w:fldCharType="separate"/>
      </w:r>
      <w:r>
        <w:rPr>
          <w:rStyle w:val="Hyperlink"/>
        </w:rPr>
        <w:t>18</w:t>
      </w:r>
      <w:r>
        <w:fldChar w:fldCharType="end"/>
      </w:r>
      <w:r>
        <w:fldChar w:fldCharType="end"/>
      </w:r>
    </w:p>
    <w:p>
      <w:pPr>
        <w:pStyle w:val="TOC3"/>
        <w:rPr>
          <w:rFonts w:asciiTheme="minorHAnsi" w:hAnsiTheme="minorHAnsi"/>
          <w:noProof/>
          <w:sz w:val="22"/>
        </w:rPr>
      </w:pPr>
      <w:r>
        <w:fldChar w:fldCharType="begin"/>
      </w:r>
      <w:r>
        <w:rPr>
          <w:rStyle w:val="Hyperlink"/>
        </w:rPr>
        <w:instrText xml:space="preserve"> HYPERLINK \l "_Toc256000033" </w:instrText>
      </w:r>
      <w:r>
        <w:fldChar w:fldCharType="separate"/>
      </w:r>
      <w:r>
        <w:rPr>
          <w:rStyle w:val="Hyperlink"/>
        </w:rPr>
        <w:t>6.1.1</w:t>
      </w:r>
      <w:r>
        <w:rPr>
          <w:rStyle w:val="Hyperlink"/>
          <w:rFonts w:asciiTheme="minorHAnsi" w:hAnsiTheme="minorHAnsi"/>
          <w:noProof/>
          <w:sz w:val="22"/>
        </w:rPr>
        <w:tab/>
      </w:r>
      <w:r>
        <w:rPr>
          <w:rStyle w:val="Hyperlink"/>
        </w:rPr>
        <w:t>Forma vzdělávání: Denní</w:t>
      </w:r>
      <w:r>
        <w:rPr>
          <w:rStyle w:val="Hyperlink"/>
        </w:rPr>
        <w:tab/>
      </w:r>
      <w:r>
        <w:fldChar w:fldCharType="begin"/>
      </w:r>
      <w:r>
        <w:rPr>
          <w:rStyle w:val="Hyperlink"/>
        </w:rPr>
        <w:instrText xml:space="preserve"> PAGEREF _Toc256000033 \h </w:instrText>
      </w:r>
      <w:r>
        <w:fldChar w:fldCharType="separate"/>
      </w:r>
      <w:r>
        <w:rPr>
          <w:rStyle w:val="Hyperlink"/>
        </w:rPr>
        <w:t>18</w:t>
      </w:r>
      <w:r>
        <w:fldChar w:fldCharType="end"/>
      </w:r>
      <w:r>
        <w:fldChar w:fldCharType="end"/>
      </w:r>
    </w:p>
    <w:p>
      <w:pPr>
        <w:pStyle w:val="TOC2"/>
        <w:rPr>
          <w:rFonts w:asciiTheme="minorHAnsi" w:hAnsiTheme="minorHAnsi"/>
          <w:noProof/>
          <w:sz w:val="22"/>
        </w:rPr>
      </w:pPr>
      <w:r>
        <w:fldChar w:fldCharType="begin"/>
      </w:r>
      <w:r>
        <w:rPr>
          <w:rStyle w:val="Hyperlink"/>
        </w:rPr>
        <w:instrText xml:space="preserve"> HYPERLINK \l "_Toc256000034" </w:instrText>
      </w:r>
      <w:r>
        <w:fldChar w:fldCharType="separate"/>
      </w:r>
      <w:r>
        <w:rPr>
          <w:rStyle w:val="Hyperlink"/>
        </w:rPr>
        <w:t>6.2</w:t>
      </w:r>
      <w:r>
        <w:rPr>
          <w:rStyle w:val="Hyperlink"/>
          <w:rFonts w:asciiTheme="minorHAnsi" w:hAnsiTheme="minorHAnsi"/>
          <w:noProof/>
          <w:sz w:val="22"/>
        </w:rPr>
        <w:tab/>
      </w:r>
      <w:r>
        <w:rPr>
          <w:rStyle w:val="Hyperlink"/>
        </w:rPr>
        <w:t>Popis zpracování třídního vzdělávacího programu</w:t>
      </w:r>
      <w:r>
        <w:rPr>
          <w:rStyle w:val="Hyperlink"/>
        </w:rPr>
        <w:tab/>
      </w:r>
      <w:r>
        <w:fldChar w:fldCharType="begin"/>
      </w:r>
      <w:r>
        <w:rPr>
          <w:rStyle w:val="Hyperlink"/>
        </w:rPr>
        <w:instrText xml:space="preserve"> PAGEREF _Toc256000034 \h </w:instrText>
      </w:r>
      <w:r>
        <w:fldChar w:fldCharType="separate"/>
      </w:r>
      <w:r>
        <w:rPr>
          <w:rStyle w:val="Hyperlink"/>
        </w:rPr>
        <w:t>31</w:t>
      </w:r>
      <w:r>
        <w:fldChar w:fldCharType="end"/>
      </w:r>
      <w:r>
        <w:fldChar w:fldCharType="end"/>
      </w:r>
    </w:p>
    <w:p>
      <w:pPr>
        <w:pStyle w:val="TOC2"/>
        <w:rPr>
          <w:rFonts w:asciiTheme="minorHAnsi" w:hAnsiTheme="minorHAnsi"/>
          <w:noProof/>
          <w:sz w:val="22"/>
        </w:rPr>
      </w:pPr>
      <w:r>
        <w:fldChar w:fldCharType="begin"/>
      </w:r>
      <w:r>
        <w:rPr>
          <w:rStyle w:val="Hyperlink"/>
        </w:rPr>
        <w:instrText xml:space="preserve"> HYPERLINK \l "_Toc256000035" </w:instrText>
      </w:r>
      <w:r>
        <w:fldChar w:fldCharType="separate"/>
      </w:r>
      <w:r>
        <w:rPr>
          <w:rStyle w:val="Hyperlink"/>
        </w:rPr>
        <w:t>6.3</w:t>
      </w:r>
      <w:r>
        <w:rPr>
          <w:rStyle w:val="Hyperlink"/>
          <w:rFonts w:asciiTheme="minorHAnsi" w:hAnsiTheme="minorHAnsi"/>
          <w:noProof/>
          <w:sz w:val="22"/>
        </w:rPr>
        <w:tab/>
      </w:r>
      <w:r>
        <w:rPr>
          <w:rStyle w:val="Hyperlink"/>
        </w:rPr>
        <w:t>Dílčí projekty a programy</w:t>
      </w:r>
      <w:r>
        <w:rPr>
          <w:rStyle w:val="Hyperlink"/>
        </w:rPr>
        <w:tab/>
      </w:r>
      <w:r>
        <w:fldChar w:fldCharType="begin"/>
      </w:r>
      <w:r>
        <w:rPr>
          <w:rStyle w:val="Hyperlink"/>
        </w:rPr>
        <w:instrText xml:space="preserve"> PAGEREF _Toc256000035 \h </w:instrText>
      </w:r>
      <w:r>
        <w:fldChar w:fldCharType="separate"/>
      </w:r>
      <w:r>
        <w:rPr>
          <w:rStyle w:val="Hyperlink"/>
        </w:rPr>
        <w:t>32</w:t>
      </w:r>
      <w:r>
        <w:fldChar w:fldCharType="end"/>
      </w:r>
      <w:r>
        <w:fldChar w:fldCharType="end"/>
      </w:r>
    </w:p>
    <w:p>
      <w:pPr>
        <w:pStyle w:val="TOC1"/>
        <w:rPr>
          <w:rFonts w:asciiTheme="minorHAnsi" w:hAnsiTheme="minorHAnsi"/>
          <w:noProof/>
          <w:sz w:val="22"/>
        </w:rPr>
      </w:pPr>
      <w:r>
        <w:fldChar w:fldCharType="begin"/>
      </w:r>
      <w:r>
        <w:rPr>
          <w:rStyle w:val="Hyperlink"/>
        </w:rPr>
        <w:instrText xml:space="preserve"> HYPERLINK \l "_Toc256000036" </w:instrText>
      </w:r>
      <w:r>
        <w:fldChar w:fldCharType="separate"/>
      </w:r>
      <w:r>
        <w:rPr>
          <w:rStyle w:val="Hyperlink"/>
        </w:rPr>
        <w:t>7</w:t>
      </w:r>
      <w:r>
        <w:rPr>
          <w:rStyle w:val="Hyperlink"/>
          <w:rFonts w:asciiTheme="minorHAnsi" w:hAnsiTheme="minorHAnsi"/>
          <w:noProof/>
          <w:sz w:val="22"/>
        </w:rPr>
        <w:tab/>
      </w:r>
      <w:r>
        <w:rPr>
          <w:rStyle w:val="Hyperlink"/>
        </w:rPr>
        <w:t>Systém evaluace</w:t>
      </w:r>
      <w:r>
        <w:rPr>
          <w:rStyle w:val="Hyperlink"/>
        </w:rPr>
        <w:tab/>
      </w:r>
      <w:r>
        <w:fldChar w:fldCharType="begin"/>
      </w:r>
      <w:r>
        <w:rPr>
          <w:rStyle w:val="Hyperlink"/>
        </w:rPr>
        <w:instrText xml:space="preserve"> PAGEREF _Toc256000036 \h </w:instrText>
      </w:r>
      <w:r>
        <w:fldChar w:fldCharType="separate"/>
      </w:r>
      <w:r>
        <w:rPr>
          <w:rStyle w:val="Hyperlink"/>
        </w:rPr>
        <w:t>33</w:t>
      </w:r>
      <w:r>
        <w:fldChar w:fldCharType="end"/>
      </w:r>
      <w:r>
        <w:fldChar w:fldCharType="end"/>
      </w:r>
    </w:p>
    <w:p>
      <w:pPr>
        <w:bidi w:val="0"/>
        <w:spacing w:before="0" w:after="322"/>
        <w:rPr>
          <w:rStyle w:val="DefaultParagraphFont"/>
        </w:rPr>
        <w:sectPr>
          <w:pgSz w:w="11906" w:h="16838"/>
          <w:pgMar w:top="1440" w:right="1325" w:bottom="1440" w:left="1800" w:header="720" w:footer="720"/>
          <w:cols w:space="720"/>
        </w:sectPr>
      </w:pPr>
      <w:r>
        <w:rPr>
          <w:rStyle w:val="DefaultParagraphFont"/>
        </w:rPr>
        <w:fldChar w:fldCharType="end"/>
      </w:r>
    </w:p>
    <w:p>
      <w:pPr>
        <w:sectPr>
          <w:type w:val="continuous"/>
          <w:pgSz w:w="11906" w:h="16838"/>
          <w:pgMar w:top="1440" w:right="1325" w:bottom="1440" w:left="1800" w:header="720" w:footer="720"/>
          <w:cols w:space="720"/>
        </w:sectPr>
      </w:pPr>
    </w:p>
    <w:p>
      <w:pPr>
        <w:pStyle w:val="Heading1"/>
        <w:bidi w:val="0"/>
        <w:spacing w:before="0" w:after="322"/>
        <w:rPr>
          <w:rStyle w:val="DefaultParagraphFont"/>
          <w:b/>
          <w:bCs/>
          <w:sz w:val="48"/>
          <w:szCs w:val="48"/>
          <w:bdr w:val="nil"/>
          <w:rtl w:val="0"/>
        </w:rPr>
      </w:pPr>
      <w:bookmarkStart w:id="1" w:name="_Toc256000000"/>
      <w:r>
        <w:rPr>
          <w:rStyle w:val="DefaultParagraphFont"/>
          <w:b/>
          <w:bCs/>
          <w:sz w:val="48"/>
          <w:szCs w:val="48"/>
          <w:bdr w:val="nil"/>
          <w:rtl w:val="0"/>
        </w:rPr>
        <w:t>Identifikační údaje o škole</w:t>
      </w:r>
      <w:bookmarkEnd w:id="1"/>
      <w:r>
        <w:rPr>
          <w:rStyle w:val="DefaultParagraphFont"/>
          <w:b/>
          <w:bCs/>
          <w:sz w:val="48"/>
          <w:szCs w:val="48"/>
          <w:bdr w:val="nil"/>
          <w:rtl w:val="0"/>
        </w:rPr>
        <w:t> </w:t>
      </w:r>
    </w:p>
    <w:p>
      <w:pPr>
        <w:pStyle w:val="Heading2"/>
        <w:bidi w:val="0"/>
        <w:spacing w:before="299" w:after="299"/>
        <w:rPr>
          <w:rStyle w:val="DefaultParagraphFont"/>
        </w:rPr>
      </w:pPr>
      <w:bookmarkStart w:id="2" w:name="_Toc256000001"/>
      <w:r>
        <w:rPr>
          <w:rStyle w:val="DefaultParagraphFont"/>
          <w:b/>
          <w:bCs/>
          <w:sz w:val="36"/>
          <w:szCs w:val="36"/>
          <w:bdr w:val="nil"/>
          <w:rtl w:val="0"/>
        </w:rPr>
        <w:t>Název ŠVP</w:t>
      </w:r>
      <w:bookmarkEnd w:id="2"/>
      <w:r>
        <w:rPr>
          <w:rStyle w:val="DefaultParagraphFont"/>
          <w:b/>
          <w:bCs/>
          <w:sz w:val="36"/>
          <w:szCs w:val="36"/>
          <w:bdr w:val="nil"/>
          <w:rtl w:val="0"/>
        </w:rPr>
        <w:t> </w:t>
      </w:r>
    </w:p>
    <w:p>
      <w:pPr>
        <w:bidi w:val="0"/>
        <w:spacing w:before="240" w:after="240"/>
        <w:rPr>
          <w:rStyle w:val="DefaultParagraphFont"/>
        </w:rPr>
      </w:pPr>
      <w:r>
        <w:rPr>
          <w:rStyle w:val="DefaultParagraphFont"/>
          <w:b/>
          <w:bCs/>
          <w:bdr w:val="nil"/>
          <w:rtl w:val="0"/>
        </w:rPr>
        <w:t>NÁZEV ŠVP: Školní vzdělávací program pro předškolní vzdělávání </w:t>
      </w:r>
      <w:r>
        <w:rPr>
          <w:rStyle w:val="DefaultParagraphFont"/>
          <w:bdr w:val="nil"/>
          <w:rtl w:val="0"/>
        </w:rPr>
        <w:cr/>
      </w:r>
      <w:r>
        <w:rPr>
          <w:rStyle w:val="DefaultParagraphFont"/>
          <w:b/>
          <w:bCs/>
          <w:bdr w:val="nil"/>
          <w:rtl w:val="0"/>
        </w:rPr>
        <w:t>MOTIVAČNÍ NÁZEV: </w:t>
      </w:r>
      <w:r>
        <w:rPr>
          <w:rStyle w:val="DefaultParagraphFont"/>
          <w:bdr w:val="nil"/>
          <w:rtl w:val="0"/>
        </w:rPr>
        <w:t xml:space="preserve"> Hrajeme si spolu a poznáváme svět </w:t>
      </w:r>
    </w:p>
    <w:p>
      <w:pPr>
        <w:pStyle w:val="Heading2"/>
        <w:bidi w:val="0"/>
        <w:spacing w:before="299" w:after="299"/>
        <w:rPr>
          <w:rStyle w:val="DefaultParagraphFont"/>
        </w:rPr>
      </w:pPr>
      <w:bookmarkStart w:id="3" w:name="_Toc256000002"/>
      <w:r>
        <w:rPr>
          <w:rStyle w:val="DefaultParagraphFont"/>
          <w:b/>
          <w:bCs/>
          <w:sz w:val="36"/>
          <w:szCs w:val="36"/>
          <w:bdr w:val="nil"/>
          <w:rtl w:val="0"/>
        </w:rPr>
        <w:t>Údaje o škole</w:t>
      </w:r>
      <w:bookmarkEnd w:id="3"/>
      <w:r>
        <w:rPr>
          <w:rStyle w:val="DefaultParagraphFont"/>
          <w:b/>
          <w:bCs/>
          <w:sz w:val="36"/>
          <w:szCs w:val="36"/>
          <w:bdr w:val="nil"/>
          <w:rtl w:val="0"/>
        </w:rPr>
        <w:t> </w:t>
      </w:r>
    </w:p>
    <w:p>
      <w:pPr>
        <w:bidi w:val="0"/>
        <w:rPr>
          <w:rStyle w:val="DefaultParagraphFont"/>
        </w:rPr>
      </w:pPr>
      <w:r>
        <w:rPr>
          <w:rStyle w:val="DefaultParagraphFont"/>
          <w:b/>
          <w:bCs/>
          <w:bdr w:val="nil"/>
          <w:rtl w:val="0"/>
        </w:rPr>
        <w:t>NÁZEV ŠKOLY:  </w:t>
      </w:r>
      <w:r>
        <w:rPr>
          <w:rStyle w:val="DefaultParagraphFont"/>
          <w:bdr w:val="nil"/>
          <w:rtl w:val="0"/>
        </w:rPr>
        <w:t>Základní škola a Mateřská škola Ejpovice, okres Rokycany, příspěvková organizace </w:t>
      </w:r>
      <w:r>
        <w:rPr>
          <w:rStyle w:val="DefaultParagraphFont"/>
          <w:bdr w:val="nil"/>
          <w:rtl w:val="0"/>
        </w:rPr>
        <w:cr/>
      </w:r>
      <w:r>
        <w:rPr>
          <w:rStyle w:val="DefaultParagraphFont"/>
          <w:b/>
          <w:bCs/>
          <w:bdr w:val="nil"/>
          <w:rtl w:val="0"/>
        </w:rPr>
        <w:t>SÍDLO ŠKOLY: </w:t>
      </w:r>
      <w:r>
        <w:rPr>
          <w:rStyle w:val="DefaultParagraphFont"/>
          <w:b/>
          <w:bCs/>
          <w:bdr w:val="nil"/>
          <w:rtl w:val="0"/>
        </w:rPr>
        <w:t xml:space="preserve">  </w:t>
      </w:r>
    </w:p>
    <w:p>
      <w:pPr>
        <w:bidi w:val="0"/>
        <w:spacing w:before="240" w:after="240"/>
        <w:rPr>
          <w:rStyle w:val="DefaultParagraphFont"/>
          <w:bdr w:val="nil"/>
          <w:rtl w:val="0"/>
        </w:rPr>
      </w:pPr>
      <w:r>
        <w:rPr>
          <w:rStyle w:val="DefaultParagraphFont"/>
          <w:bdr w:val="nil"/>
          <w:rtl w:val="0"/>
        </w:rPr>
        <w:t>Hlavní 87, Ejpovice, 33701 </w:t>
      </w:r>
    </w:p>
    <w:p>
      <w:pPr>
        <w:bidi w:val="0"/>
        <w:rPr>
          <w:rStyle w:val="DefaultParagraphFont"/>
          <w:bdr w:val="nil"/>
          <w:rtl w:val="0"/>
        </w:rPr>
      </w:pPr>
      <w:r>
        <w:rPr>
          <w:rStyle w:val="DefaultParagraphFont"/>
          <w:bdr w:val="nil"/>
          <w:rtl w:val="0"/>
        </w:rPr>
        <w:cr/>
      </w:r>
      <w:r>
        <w:rPr>
          <w:rStyle w:val="DefaultParagraphFont"/>
          <w:b/>
          <w:bCs/>
          <w:bdr w:val="nil"/>
          <w:rtl w:val="0"/>
        </w:rPr>
        <w:t>KONTAKTY: </w:t>
      </w:r>
      <w:r>
        <w:rPr>
          <w:rStyle w:val="DefaultParagraphFont"/>
          <w:b/>
          <w:bCs/>
          <w:bdr w:val="nil"/>
          <w:rtl w:val="0"/>
        </w:rPr>
        <w:t xml:space="preserve">  </w:t>
      </w:r>
      <w:r>
        <w:rPr>
          <w:rStyle w:val="DefaultParagraphFont"/>
          <w:bdr w:val="nil"/>
          <w:rtl w:val="0"/>
        </w:rPr>
        <w:cr/>
      </w:r>
      <w:r>
        <w:rPr>
          <w:rStyle w:val="DefaultParagraphFont"/>
          <w:b/>
          <w:bCs/>
          <w:bdr w:val="nil"/>
          <w:rtl w:val="0"/>
        </w:rPr>
        <w:t>   e-mail: </w:t>
      </w:r>
      <w:r>
        <w:rPr>
          <w:rStyle w:val="DefaultParagraphFont"/>
          <w:bdr w:val="nil"/>
          <w:rtl w:val="0"/>
        </w:rPr>
        <w:t xml:space="preserve"> zsams.ejpovice@seznam.cz,  </w:t>
      </w:r>
      <w:r>
        <w:rPr>
          <w:rStyle w:val="DefaultParagraphFont"/>
          <w:bdr w:val="nil"/>
          <w:rtl w:val="0"/>
        </w:rPr>
        <w:cr/>
      </w:r>
      <w:r>
        <w:rPr>
          <w:rStyle w:val="DefaultParagraphFont"/>
          <w:b/>
          <w:bCs/>
          <w:bdr w:val="nil"/>
          <w:rtl w:val="0"/>
        </w:rPr>
        <w:t>   web:  </w:t>
      </w:r>
      <w:r>
        <w:rPr>
          <w:rStyle w:val="DefaultParagraphFont"/>
          <w:bdr w:val="nil"/>
          <w:rtl w:val="0"/>
        </w:rPr>
        <w:t>www.skolaejpovice.cz </w:t>
      </w:r>
      <w:r>
        <w:rPr>
          <w:rStyle w:val="DefaultParagraphFont"/>
          <w:bdr w:val="nil"/>
          <w:rtl w:val="0"/>
        </w:rPr>
        <w:cr/>
      </w:r>
      <w:r>
        <w:rPr>
          <w:rStyle w:val="DefaultParagraphFont"/>
          <w:b/>
          <w:bCs/>
          <w:bdr w:val="nil"/>
          <w:rtl w:val="0"/>
        </w:rPr>
        <w:t>REDIZO:  </w:t>
      </w:r>
      <w:r>
        <w:rPr>
          <w:rStyle w:val="DefaultParagraphFont"/>
          <w:bdr w:val="nil"/>
          <w:rtl w:val="0"/>
        </w:rPr>
        <w:t>650055390 </w:t>
      </w:r>
      <w:r>
        <w:rPr>
          <w:rStyle w:val="DefaultParagraphFont"/>
          <w:bdr w:val="nil"/>
          <w:rtl w:val="0"/>
        </w:rPr>
        <w:cr/>
      </w:r>
      <w:r>
        <w:rPr>
          <w:rStyle w:val="DefaultParagraphFont"/>
          <w:b/>
          <w:bCs/>
          <w:bdr w:val="nil"/>
          <w:rtl w:val="0"/>
        </w:rPr>
        <w:t>IČO: </w:t>
      </w:r>
      <w:r>
        <w:rPr>
          <w:rStyle w:val="DefaultParagraphFont"/>
          <w:bdr w:val="nil"/>
          <w:rtl w:val="0"/>
        </w:rPr>
        <w:t xml:space="preserve"> 75011026 </w:t>
      </w:r>
      <w:r>
        <w:rPr>
          <w:rStyle w:val="DefaultParagraphFont"/>
          <w:bdr w:val="nil"/>
          <w:rtl w:val="0"/>
        </w:rPr>
        <w:cr/>
      </w:r>
      <w:r>
        <w:rPr>
          <w:rStyle w:val="DefaultParagraphFont"/>
          <w:b/>
          <w:bCs/>
          <w:bdr w:val="nil"/>
          <w:rtl w:val="0"/>
        </w:rPr>
        <w:t>STATUTARNÍ ZÁSTUPCE ŠKOLY: </w:t>
      </w:r>
      <w:r>
        <w:rPr>
          <w:rStyle w:val="DefaultParagraphFont"/>
          <w:bdr w:val="nil"/>
          <w:rtl w:val="0"/>
        </w:rPr>
        <w:t xml:space="preserve"> Mgr. Eva Manclová </w:t>
      </w:r>
      <w:r>
        <w:rPr>
          <w:rStyle w:val="DefaultParagraphFont"/>
          <w:bdr w:val="nil"/>
          <w:rtl w:val="0"/>
        </w:rPr>
        <w:cr/>
      </w:r>
      <w:r>
        <w:rPr>
          <w:rStyle w:val="DefaultParagraphFont"/>
          <w:b/>
          <w:bCs/>
          <w:bdr w:val="nil"/>
          <w:rtl w:val="0"/>
        </w:rPr>
        <w:t>ZPRACOVATELÉ PROGRAMU: </w:t>
      </w:r>
      <w:r>
        <w:rPr>
          <w:rStyle w:val="DefaultParagraphFont"/>
          <w:b/>
          <w:bCs/>
          <w:bdr w:val="nil"/>
          <w:rtl w:val="0"/>
        </w:rPr>
        <w:t xml:space="preserve">  </w:t>
      </w:r>
      <w:r>
        <w:rPr>
          <w:rStyle w:val="DefaultParagraphFont"/>
          <w:bdr w:val="nil"/>
          <w:rtl w:val="0"/>
        </w:rPr>
        <w:t>Jitka Cingrošová, vedoucí pedagog; Monika Knížková, padagog; Bc. Pavla Svobodová, pedagog; Bc. Kateřina Vokurková, pedagog  </w:t>
      </w:r>
    </w:p>
    <w:p>
      <w:pPr>
        <w:pStyle w:val="Heading2"/>
        <w:bidi w:val="0"/>
        <w:spacing w:before="299" w:after="299"/>
        <w:rPr>
          <w:rStyle w:val="DefaultParagraphFont"/>
        </w:rPr>
      </w:pPr>
      <w:bookmarkStart w:id="4" w:name="_Toc256000003"/>
      <w:r>
        <w:rPr>
          <w:rStyle w:val="DefaultParagraphFont"/>
          <w:b/>
          <w:bCs/>
          <w:sz w:val="36"/>
          <w:szCs w:val="36"/>
          <w:bdr w:val="nil"/>
          <w:rtl w:val="0"/>
        </w:rPr>
        <w:t>Zřizovatel</w:t>
      </w:r>
      <w:bookmarkEnd w:id="4"/>
      <w:r>
        <w:rPr>
          <w:rStyle w:val="DefaultParagraphFont"/>
          <w:b/>
          <w:bCs/>
          <w:sz w:val="36"/>
          <w:szCs w:val="36"/>
          <w:bdr w:val="nil"/>
          <w:rtl w:val="0"/>
        </w:rPr>
        <w:t> </w:t>
      </w:r>
    </w:p>
    <w:p>
      <w:pPr>
        <w:bidi w:val="0"/>
        <w:rPr>
          <w:rStyle w:val="DefaultParagraphFont"/>
        </w:rPr>
      </w:pPr>
      <w:r>
        <w:rPr>
          <w:rStyle w:val="DefaultParagraphFont"/>
          <w:b/>
          <w:bCs/>
          <w:bdr w:val="nil"/>
          <w:rtl w:val="0"/>
        </w:rPr>
        <w:t>NÁZEV ZŘIZOVATELE: </w:t>
      </w:r>
      <w:r>
        <w:rPr>
          <w:rStyle w:val="DefaultParagraphFont"/>
          <w:b/>
          <w:bCs/>
          <w:bdr w:val="nil"/>
          <w:rtl w:val="0"/>
        </w:rPr>
        <w:t xml:space="preserve">  </w:t>
      </w:r>
      <w:r>
        <w:rPr>
          <w:rStyle w:val="DefaultParagraphFont"/>
          <w:bdr w:val="nil"/>
          <w:rtl w:val="0"/>
        </w:rPr>
        <w:t>OÚ Ejpovice </w:t>
      </w:r>
      <w:r>
        <w:rPr>
          <w:rStyle w:val="DefaultParagraphFont"/>
          <w:bdr w:val="nil"/>
          <w:rtl w:val="0"/>
        </w:rPr>
        <w:cr/>
      </w:r>
      <w:r>
        <w:rPr>
          <w:rStyle w:val="DefaultParagraphFont"/>
          <w:b/>
          <w:bCs/>
          <w:bdr w:val="nil"/>
          <w:rtl w:val="0"/>
        </w:rPr>
        <w:t>ADRESA ZŘIZOVATELE: </w:t>
      </w:r>
      <w:r>
        <w:rPr>
          <w:rStyle w:val="DefaultParagraphFont"/>
          <w:b/>
          <w:bCs/>
          <w:bdr w:val="nil"/>
          <w:rtl w:val="0"/>
        </w:rPr>
        <w:t xml:space="preserve">  </w:t>
      </w:r>
    </w:p>
    <w:p>
      <w:pPr>
        <w:bidi w:val="0"/>
        <w:spacing w:before="240" w:after="240"/>
        <w:rPr>
          <w:rStyle w:val="DefaultParagraphFont"/>
          <w:bdr w:val="nil"/>
          <w:rtl w:val="0"/>
        </w:rPr>
      </w:pPr>
      <w:r>
        <w:rPr>
          <w:rStyle w:val="DefaultParagraphFont"/>
          <w:bdr w:val="nil"/>
          <w:rtl w:val="0"/>
        </w:rPr>
        <w:t>Hlavní 24, 33701 Ejpovice </w:t>
      </w:r>
    </w:p>
    <w:p>
      <w:pPr>
        <w:bidi w:val="0"/>
        <w:rPr>
          <w:rStyle w:val="DefaultParagraphFont"/>
          <w:bdr w:val="nil"/>
          <w:rtl w:val="0"/>
        </w:rPr>
      </w:pPr>
      <w:r>
        <w:rPr>
          <w:rStyle w:val="DefaultParagraphFont"/>
          <w:bdr w:val="nil"/>
          <w:rtl w:val="0"/>
        </w:rPr>
        <w:cr/>
      </w:r>
      <w:r>
        <w:rPr>
          <w:rStyle w:val="DefaultParagraphFont"/>
          <w:b/>
          <w:bCs/>
          <w:bdr w:val="nil"/>
          <w:rtl w:val="0"/>
        </w:rPr>
        <w:t>KONTAKTY: </w:t>
      </w:r>
      <w:r>
        <w:rPr>
          <w:rStyle w:val="DefaultParagraphFont"/>
          <w:b/>
          <w:bCs/>
          <w:bdr w:val="nil"/>
          <w:rtl w:val="0"/>
        </w:rPr>
        <w:t xml:space="preserve">  </w:t>
      </w:r>
    </w:p>
    <w:p>
      <w:pPr>
        <w:numPr>
          <w:ilvl w:val="0"/>
          <w:numId w:val="3"/>
        </w:numPr>
        <w:bidi w:val="0"/>
        <w:spacing w:before="240"/>
        <w:rPr>
          <w:rStyle w:val="DefaultParagraphFont"/>
          <w:bdr w:val="nil"/>
          <w:rtl w:val="0"/>
        </w:rPr>
      </w:pPr>
      <w:r>
        <w:rPr>
          <w:rStyle w:val="DefaultParagraphFont"/>
          <w:b/>
          <w:bCs/>
          <w:bdr w:val="nil"/>
          <w:rtl w:val="0"/>
        </w:rPr>
        <w:t>Starosta: </w:t>
      </w:r>
      <w:r>
        <w:rPr>
          <w:rStyle w:val="DefaultParagraphFont"/>
          <w:bdr w:val="nil"/>
          <w:rtl w:val="0"/>
        </w:rPr>
        <w:t> Jaromír Kalčík, mobil: 737 200 989 </w:t>
      </w:r>
    </w:p>
    <w:p>
      <w:pPr>
        <w:numPr>
          <w:ilvl w:val="0"/>
          <w:numId w:val="3"/>
        </w:numPr>
        <w:bidi w:val="0"/>
        <w:spacing w:after="240"/>
        <w:rPr>
          <w:rStyle w:val="DefaultParagraphFont"/>
          <w:bdr w:val="nil"/>
          <w:rtl w:val="0"/>
        </w:rPr>
      </w:pPr>
      <w:r>
        <w:rPr>
          <w:rStyle w:val="DefaultParagraphFont"/>
          <w:b/>
          <w:bCs/>
          <w:bdr w:val="nil"/>
          <w:rtl w:val="0"/>
        </w:rPr>
        <w:t>Místostarosta: </w:t>
      </w:r>
      <w:r>
        <w:rPr>
          <w:rStyle w:val="DefaultParagraphFont"/>
          <w:bdr w:val="nil"/>
          <w:rtl w:val="0"/>
        </w:rPr>
        <w:t> Jaroslav Ženíšek, mobil: 603 573 872  </w:t>
      </w:r>
    </w:p>
    <w:p>
      <w:pPr>
        <w:pStyle w:val="Heading2"/>
        <w:bidi w:val="0"/>
        <w:spacing w:before="299" w:after="299"/>
        <w:rPr>
          <w:rStyle w:val="DefaultParagraphFont"/>
        </w:rPr>
      </w:pPr>
      <w:bookmarkStart w:id="5" w:name="_Toc256000004"/>
      <w:r>
        <w:rPr>
          <w:rStyle w:val="DefaultParagraphFont"/>
          <w:b/>
          <w:bCs/>
          <w:sz w:val="36"/>
          <w:szCs w:val="36"/>
          <w:bdr w:val="nil"/>
          <w:rtl w:val="0"/>
        </w:rPr>
        <w:t>Platnost dokumentu</w:t>
      </w:r>
      <w:bookmarkEnd w:id="5"/>
      <w:r>
        <w:rPr>
          <w:rStyle w:val="DefaultParagraphFont"/>
          <w:b/>
          <w:bCs/>
          <w:sz w:val="36"/>
          <w:szCs w:val="36"/>
          <w:bdr w:val="nil"/>
          <w:rtl w:val="0"/>
        </w:rPr>
        <w:t> </w:t>
      </w:r>
    </w:p>
    <w:p>
      <w:pPr>
        <w:bidi w:val="0"/>
        <w:rPr>
          <w:rStyle w:val="DefaultParagraphFont"/>
        </w:rPr>
      </w:pPr>
      <w:r>
        <w:rPr>
          <w:rStyle w:val="DefaultParagraphFont"/>
          <w:b/>
          <w:bCs/>
          <w:bdr w:val="nil"/>
          <w:rtl w:val="0"/>
        </w:rPr>
        <w:t>PLATNOST DOKUMENTU:  </w:t>
      </w:r>
      <w:r>
        <w:rPr>
          <w:rStyle w:val="DefaultParagraphFont"/>
          <w:bdr w:val="nil"/>
          <w:rtl w:val="0"/>
        </w:rPr>
        <w:t>31. 08. 2028 </w:t>
      </w:r>
      <w:r>
        <w:rPr>
          <w:rStyle w:val="DefaultParagraphFont"/>
          <w:bdr w:val="nil"/>
          <w:rtl w:val="0"/>
        </w:rPr>
        <w:cr/>
      </w:r>
      <w:r>
        <w:rPr>
          <w:rStyle w:val="DefaultParagraphFont"/>
          <w:b/>
          <w:bCs/>
          <w:bdr w:val="nil"/>
          <w:rtl w:val="0"/>
        </w:rPr>
        <w:t>VERZE ŠVP: </w:t>
      </w:r>
      <w:r>
        <w:rPr>
          <w:rStyle w:val="DefaultParagraphFont"/>
          <w:bdr w:val="nil"/>
          <w:rtl w:val="0"/>
        </w:rPr>
        <w:t xml:space="preserve"> 1 </w:t>
      </w:r>
      <w:r>
        <w:rPr>
          <w:rStyle w:val="DefaultParagraphFont"/>
          <w:bdr w:val="nil"/>
          <w:rtl w:val="0"/>
        </w:rPr>
        <w:cr/>
      </w:r>
      <w:r>
        <w:rPr>
          <w:rStyle w:val="DefaultParagraphFont"/>
          <w:b/>
          <w:bCs/>
          <w:bdr w:val="nil"/>
          <w:rtl w:val="0"/>
        </w:rPr>
        <w:t>ČÍSLO JEDNACÍ: </w:t>
      </w:r>
      <w:r>
        <w:rPr>
          <w:rStyle w:val="DefaultParagraphFont"/>
          <w:bdr w:val="nil"/>
          <w:rtl w:val="0"/>
        </w:rPr>
        <w:t xml:space="preserve"> 82/2023 </w:t>
      </w:r>
      <w:r>
        <w:rPr>
          <w:rStyle w:val="DefaultParagraphFont"/>
          <w:bdr w:val="nil"/>
          <w:rtl w:val="0"/>
        </w:rPr>
        <w:cr/>
      </w:r>
      <w:r>
        <w:rPr>
          <w:rStyle w:val="DefaultParagraphFont"/>
          <w:b/>
          <w:bCs/>
          <w:bdr w:val="nil"/>
          <w:rtl w:val="0"/>
        </w:rPr>
        <w:t>DATUM PROJEDNÁNÍ V PEDAGOGICKÉ RADĚ:  </w:t>
      </w:r>
      <w:r>
        <w:rPr>
          <w:rStyle w:val="DefaultParagraphFont"/>
          <w:bdr w:val="nil"/>
          <w:rtl w:val="0"/>
        </w:rPr>
        <w:t>30. 6. 2023 </w:t>
      </w:r>
      <w:r>
        <w:rPr>
          <w:rStyle w:val="DefaultParagraphFont"/>
          <w:bdr w:val="nil"/>
          <w:rtl w:val="0"/>
        </w:rPr>
        <w:cr/>
      </w:r>
      <w:r>
        <w:rPr>
          <w:rStyle w:val="DefaultParagraphFont"/>
          <w:b/>
          <w:bCs/>
          <w:bdr w:val="nil"/>
          <w:rtl w:val="0"/>
        </w:rPr>
        <w:t>DATUM PROJEDNÁNÍ SE ZŘIZOVATELEM:  </w:t>
      </w:r>
      <w:r>
        <w:rPr>
          <w:rStyle w:val="DefaultParagraphFont"/>
          <w:bdr w:val="nil"/>
          <w:rtl w:val="0"/>
        </w:rPr>
        <w:t>30. 6. 2023 </w:t>
      </w:r>
      <w:r>
        <w:rPr>
          <w:rStyle w:val="DefaultParagraphFont"/>
          <w:bdr w:val="nil"/>
          <w:rtl w:val="0"/>
        </w:rPr>
        <w:cr/>
      </w:r>
      <w:r>
        <w:rPr>
          <w:rStyle w:val="DefaultParagraphFont"/>
          <w:bdr w:val="nil"/>
          <w:rtl w:val="0"/>
        </w:rPr>
        <w:cr/>
      </w:r>
      <w:r>
        <w:rPr>
          <w:rStyle w:val="DefaultParagraphFont"/>
          <w:bdr w:val="nil"/>
          <w:rtl w:val="0"/>
        </w:rPr>
        <w:cr/>
      </w:r>
      <w:r>
        <w:rPr>
          <w:rStyle w:val="DefaultParagraphFont"/>
          <w:bdr w:val="nil"/>
          <w:rtl w:val="0"/>
        </w:rPr>
        <w:cr/>
      </w:r>
      <w:r>
        <w:rPr>
          <w:rStyle w:val="DefaultParagraphFont"/>
          <w:bdr w:val="nil"/>
          <w:rtl w:val="0"/>
        </w:rPr>
        <w:cr/>
      </w:r>
      <w:r>
        <w:rPr>
          <w:rStyle w:val="DefaultParagraphFont"/>
          <w:bdr w:val="nil"/>
          <w:rtl w:val="0"/>
        </w:rPr>
        <w:cr/>
      </w:r>
      <w:r>
        <w:rPr>
          <w:rStyle w:val="DefaultParagraphFont"/>
          <w:bdr w:val="nil"/>
          <w:rtl w:val="0"/>
        </w:rPr>
        <w:t>................................................                                             ................................................. </w:t>
      </w:r>
      <w:r>
        <w:rPr>
          <w:rStyle w:val="DefaultParagraphFont"/>
          <w:bdr w:val="nil"/>
          <w:rtl w:val="0"/>
        </w:rPr>
        <w:cr/>
      </w:r>
      <w:r>
        <w:rPr>
          <w:rStyle w:val="DefaultParagraphFont"/>
          <w:bdr w:val="nil"/>
          <w:rtl w:val="0"/>
        </w:rPr>
        <w:t>            ředitel školy                                                                                  Razítko školy  </w:t>
      </w:r>
      <w:r>
        <w:rPr>
          <w:rStyle w:val="DefaultParagraphFont"/>
          <w:bdr w:val="nil"/>
          <w:rtl w:val="0"/>
        </w:rPr>
        <w:cr/>
      </w:r>
      <w:r>
        <w:rPr>
          <w:rStyle w:val="DefaultParagraphFont"/>
          <w:bdr w:val="nil"/>
          <w:rtl w:val="0"/>
        </w:rPr>
        <w:t>      Mgr. Eva Manclová </w:t>
      </w:r>
      <w:r>
        <w:rPr>
          <w:rStyle w:val="DefaultParagraphFont"/>
          <w:bdr w:val="nil"/>
          <w:rtl w:val="0"/>
        </w:rPr>
        <w:cr/>
      </w:r>
      <w:r>
        <w:rPr>
          <w:rStyle w:val="DefaultParagraphFont"/>
          <w:bdr w:val="nil"/>
          <w:rtl w:val="0"/>
        </w:rPr>
        <w:t xml:space="preserve">  </w:t>
      </w:r>
    </w:p>
    <w:p>
      <w:pPr>
        <w:pStyle w:val="Heading1"/>
        <w:bidi w:val="0"/>
        <w:spacing w:before="322" w:after="322"/>
        <w:rPr>
          <w:rStyle w:val="DefaultParagraphFont"/>
        </w:rPr>
        <w:sectPr>
          <w:type w:val="nextColumn"/>
          <w:pgSz w:w="11906" w:h="16838"/>
          <w:pgMar w:top="1440" w:right="1325" w:bottom="1440" w:left="1800" w:header="720" w:footer="720"/>
          <w:cols w:space="720"/>
        </w:sectPr>
      </w:pPr>
    </w:p>
    <w:p>
      <w:pPr>
        <w:pStyle w:val="Heading1"/>
        <w:bidi w:val="0"/>
        <w:spacing w:before="322" w:after="322"/>
        <w:rPr>
          <w:rStyle w:val="DefaultParagraphFont"/>
          <w:b/>
          <w:bCs/>
          <w:sz w:val="48"/>
          <w:szCs w:val="48"/>
          <w:bdr w:val="nil"/>
          <w:rtl w:val="0"/>
        </w:rPr>
      </w:pPr>
      <w:bookmarkStart w:id="6" w:name="_Toc256000006"/>
      <w:r>
        <w:rPr>
          <w:rStyle w:val="DefaultParagraphFont"/>
          <w:b/>
          <w:bCs/>
          <w:sz w:val="48"/>
          <w:szCs w:val="48"/>
          <w:bdr w:val="nil"/>
          <w:rtl w:val="0"/>
        </w:rPr>
        <w:t>Obecná charakteristika školy</w:t>
      </w:r>
      <w:bookmarkEnd w:id="6"/>
      <w:r>
        <w:rPr>
          <w:rStyle w:val="DefaultParagraphFont"/>
          <w:b/>
          <w:bCs/>
          <w:sz w:val="48"/>
          <w:szCs w:val="48"/>
          <w:bdr w:val="nil"/>
          <w:rtl w:val="0"/>
        </w:rPr>
        <w:t> </w:t>
      </w:r>
    </w:p>
    <w:p>
      <w:pPr>
        <w:pStyle w:val="Heading2"/>
        <w:bidi w:val="0"/>
        <w:spacing w:before="299" w:after="299"/>
        <w:rPr>
          <w:rStyle w:val="DefaultParagraphFont"/>
        </w:rPr>
      </w:pPr>
      <w:bookmarkStart w:id="7" w:name="_Toc256000007"/>
      <w:r>
        <w:rPr>
          <w:rStyle w:val="DefaultParagraphFont"/>
          <w:b/>
          <w:bCs/>
          <w:sz w:val="36"/>
          <w:szCs w:val="36"/>
          <w:bdr w:val="nil"/>
          <w:rtl w:val="0"/>
        </w:rPr>
        <w:t>Velikost školy</w:t>
      </w:r>
      <w:bookmarkEnd w:id="7"/>
      <w:r>
        <w:rPr>
          <w:rStyle w:val="DefaultParagraphFont"/>
          <w:b/>
          <w:bCs/>
          <w:sz w:val="36"/>
          <w:szCs w:val="36"/>
          <w:bdr w:val="nil"/>
          <w:rtl w:val="0"/>
        </w:rPr>
        <w:t> </w:t>
      </w:r>
    </w:p>
    <w:p>
      <w:pPr>
        <w:bidi w:val="0"/>
        <w:rPr>
          <w:rStyle w:val="DefaultParagraphFont"/>
        </w:rPr>
      </w:pPr>
      <w:r>
        <w:rPr>
          <w:rStyle w:val="DefaultParagraphFont"/>
          <w:b/>
          <w:bCs/>
          <w:bdr w:val="nil"/>
          <w:rtl w:val="0"/>
        </w:rPr>
        <w:t>Kapacita školy: </w:t>
      </w:r>
      <w:r>
        <w:rPr>
          <w:rStyle w:val="DefaultParagraphFont"/>
          <w:b/>
          <w:bCs/>
          <w:bdr w:val="nil"/>
          <w:rtl w:val="0"/>
        </w:rPr>
        <w:t xml:space="preserve">  </w:t>
      </w:r>
      <w:r>
        <w:rPr>
          <w:rStyle w:val="DefaultParagraphFont"/>
          <w:bdr w:val="nil"/>
          <w:rtl w:val="0"/>
        </w:rPr>
        <w:t>48 </w:t>
      </w:r>
      <w:r>
        <w:rPr>
          <w:rStyle w:val="DefaultParagraphFont"/>
          <w:bdr w:val="nil"/>
          <w:rtl w:val="0"/>
        </w:rPr>
        <w:cr/>
      </w:r>
      <w:r>
        <w:rPr>
          <w:rStyle w:val="DefaultParagraphFont"/>
          <w:b/>
          <w:bCs/>
          <w:bdr w:val="nil"/>
          <w:rtl w:val="0"/>
        </w:rPr>
        <w:t>Počet tříd: </w:t>
      </w:r>
      <w:r>
        <w:rPr>
          <w:rStyle w:val="DefaultParagraphFont"/>
          <w:b/>
          <w:bCs/>
          <w:bdr w:val="nil"/>
          <w:rtl w:val="0"/>
        </w:rPr>
        <w:t xml:space="preserve">  </w:t>
      </w:r>
      <w:r>
        <w:rPr>
          <w:rStyle w:val="DefaultParagraphFont"/>
          <w:bdr w:val="nil"/>
          <w:rtl w:val="0"/>
        </w:rPr>
        <w:t>2 </w:t>
      </w:r>
      <w:r>
        <w:rPr>
          <w:rStyle w:val="DefaultParagraphFont"/>
          <w:bdr w:val="nil"/>
          <w:rtl w:val="0"/>
        </w:rPr>
        <w:cr/>
      </w:r>
      <w:r>
        <w:rPr>
          <w:rStyle w:val="DefaultParagraphFont"/>
          <w:b/>
          <w:bCs/>
          <w:bdr w:val="nil"/>
          <w:rtl w:val="0"/>
        </w:rPr>
        <w:t>Počet pracovníků: </w:t>
      </w:r>
      <w:r>
        <w:rPr>
          <w:rStyle w:val="DefaultParagraphFont"/>
          <w:b/>
          <w:bCs/>
          <w:bdr w:val="nil"/>
          <w:rtl w:val="0"/>
        </w:rPr>
        <w:t xml:space="preserve">  </w:t>
      </w:r>
      <w:r>
        <w:rPr>
          <w:rStyle w:val="DefaultParagraphFont"/>
          <w:bdr w:val="nil"/>
          <w:rtl w:val="0"/>
        </w:rPr>
        <w:t>6 </w:t>
      </w:r>
      <w:r>
        <w:rPr>
          <w:rStyle w:val="DefaultParagraphFont"/>
          <w:bdr w:val="nil"/>
          <w:rtl w:val="0"/>
        </w:rPr>
        <w:cr/>
      </w:r>
      <w:r>
        <w:rPr>
          <w:rStyle w:val="DefaultParagraphFont"/>
          <w:bdr w:val="nil"/>
          <w:rtl w:val="0"/>
        </w:rPr>
        <w:t>V případě potřeby a možnosti je stálý počet pracovníků doplňován o další pracovníky (např. chůvy, školní asistenty, apod.). </w:t>
      </w:r>
      <w:r>
        <w:rPr>
          <w:rStyle w:val="DefaultParagraphFont"/>
          <w:bdr w:val="nil"/>
          <w:rtl w:val="0"/>
        </w:rPr>
        <w:t xml:space="preserve">  </w:t>
      </w:r>
    </w:p>
    <w:p>
      <w:pPr>
        <w:pStyle w:val="Heading2"/>
        <w:bidi w:val="0"/>
        <w:spacing w:before="299" w:after="299"/>
        <w:rPr>
          <w:rStyle w:val="DefaultParagraphFont"/>
        </w:rPr>
      </w:pPr>
      <w:bookmarkStart w:id="8" w:name="_Toc256000008"/>
      <w:r>
        <w:rPr>
          <w:rStyle w:val="DefaultParagraphFont"/>
          <w:b/>
          <w:bCs/>
          <w:sz w:val="36"/>
          <w:szCs w:val="36"/>
          <w:bdr w:val="nil"/>
          <w:rtl w:val="0"/>
        </w:rPr>
        <w:t>Lokalita školy</w:t>
      </w:r>
      <w:bookmarkEnd w:id="8"/>
      <w:r>
        <w:rPr>
          <w:rStyle w:val="DefaultParagraphFont"/>
          <w:b/>
          <w:bCs/>
          <w:sz w:val="36"/>
          <w:szCs w:val="36"/>
          <w:bdr w:val="nil"/>
          <w:rtl w:val="0"/>
        </w:rPr>
        <w:t> </w:t>
      </w:r>
    </w:p>
    <w:p>
      <w:pPr>
        <w:bidi w:val="0"/>
        <w:rPr>
          <w:rStyle w:val="DefaultParagraphFont"/>
        </w:rPr>
      </w:pPr>
      <w:r>
        <w:rPr>
          <w:rStyle w:val="DefaultParagraphFont"/>
          <w:b/>
          <w:bCs/>
          <w:bdr w:val="nil"/>
          <w:rtl w:val="0"/>
        </w:rPr>
        <w:t>Lokalita školy: </w:t>
      </w:r>
      <w:r>
        <w:rPr>
          <w:rStyle w:val="DefaultParagraphFont"/>
          <w:bdr w:val="nil"/>
          <w:rtl w:val="0"/>
        </w:rPr>
        <w:t xml:space="preserve">  </w:t>
      </w:r>
    </w:p>
    <w:p>
      <w:pPr>
        <w:bidi w:val="0"/>
        <w:spacing w:before="240" w:after="240"/>
        <w:rPr>
          <w:rStyle w:val="DefaultParagraphFont"/>
          <w:bdr w:val="nil"/>
          <w:rtl w:val="0"/>
        </w:rPr>
      </w:pPr>
      <w:r>
        <w:rPr>
          <w:rStyle w:val="DefaultParagraphFont"/>
          <w:bdr w:val="nil"/>
          <w:rtl w:val="0"/>
        </w:rPr>
        <w:t>obec Ejpovice - střed </w:t>
      </w:r>
    </w:p>
    <w:p>
      <w:pPr>
        <w:pStyle w:val="Heading2"/>
        <w:bidi w:val="0"/>
        <w:spacing w:before="299" w:after="299"/>
        <w:rPr>
          <w:rStyle w:val="DefaultParagraphFont"/>
        </w:rPr>
      </w:pPr>
      <w:bookmarkStart w:id="9" w:name="_Toc256000009"/>
      <w:r>
        <w:rPr>
          <w:rStyle w:val="DefaultParagraphFont"/>
          <w:b/>
          <w:bCs/>
          <w:sz w:val="36"/>
          <w:szCs w:val="36"/>
          <w:bdr w:val="nil"/>
          <w:rtl w:val="0"/>
        </w:rPr>
        <w:t>Charakter a specifika budovy</w:t>
      </w:r>
      <w:bookmarkEnd w:id="9"/>
      <w:r>
        <w:rPr>
          <w:rStyle w:val="DefaultParagraphFont"/>
          <w:b/>
          <w:bCs/>
          <w:sz w:val="36"/>
          <w:szCs w:val="36"/>
          <w:bdr w:val="nil"/>
          <w:rtl w:val="0"/>
        </w:rPr>
        <w:t> </w:t>
      </w:r>
    </w:p>
    <w:p>
      <w:pPr>
        <w:bidi w:val="0"/>
        <w:rPr>
          <w:rStyle w:val="DefaultParagraphFont"/>
        </w:rPr>
      </w:pPr>
      <w:r>
        <w:rPr>
          <w:rStyle w:val="DefaultParagraphFont"/>
          <w:b/>
          <w:bCs/>
          <w:bdr w:val="nil"/>
          <w:rtl w:val="0"/>
        </w:rPr>
        <w:t>Charakter a specifika budovy/budov: </w:t>
      </w:r>
      <w:r>
        <w:rPr>
          <w:rStyle w:val="DefaultParagraphFont"/>
          <w:b/>
          <w:bCs/>
          <w:bdr w:val="nil"/>
          <w:rtl w:val="0"/>
        </w:rPr>
        <w:t xml:space="preserve">  </w:t>
      </w:r>
    </w:p>
    <w:p>
      <w:pPr>
        <w:bidi w:val="0"/>
        <w:spacing w:before="240" w:after="240"/>
        <w:rPr>
          <w:rStyle w:val="DefaultParagraphFont"/>
        </w:rPr>
      </w:pPr>
      <w:r>
        <w:rPr>
          <w:rStyle w:val="DefaultParagraphFont"/>
          <w:bdr w:val="nil"/>
          <w:rtl w:val="0"/>
        </w:rPr>
        <w:t>přízemní budova </w:t>
      </w:r>
    </w:p>
    <w:p>
      <w:pPr>
        <w:bidi w:val="0"/>
        <w:rPr>
          <w:rStyle w:val="DefaultParagraphFont"/>
        </w:rPr>
      </w:pPr>
      <w:r>
        <w:rPr>
          <w:rStyle w:val="DefaultParagraphFont"/>
        </w:rPr>
        <w:cr/>
      </w:r>
      <w:r>
        <w:rPr>
          <w:rStyle w:val="DefaultParagraphFont"/>
          <w:b/>
          <w:bCs/>
          <w:bdr w:val="nil"/>
          <w:rtl w:val="0"/>
        </w:rPr>
        <w:t>Dopravní dostupnost školy: </w:t>
      </w:r>
      <w:r>
        <w:rPr>
          <w:rStyle w:val="DefaultParagraphFont"/>
          <w:b/>
          <w:bCs/>
          <w:bdr w:val="nil"/>
          <w:rtl w:val="0"/>
        </w:rPr>
        <w:t xml:space="preserve">  </w:t>
      </w:r>
    </w:p>
    <w:p>
      <w:pPr>
        <w:bidi w:val="0"/>
        <w:spacing w:before="240" w:after="240"/>
        <w:rPr>
          <w:rStyle w:val="DefaultParagraphFont"/>
        </w:rPr>
      </w:pPr>
      <w:r>
        <w:rPr>
          <w:rStyle w:val="DefaultParagraphFont"/>
          <w:bdr w:val="nil"/>
          <w:rtl w:val="0"/>
        </w:rPr>
        <w:t>autobus, vlak </w:t>
      </w:r>
    </w:p>
    <w:p>
      <w:pPr>
        <w:bidi w:val="0"/>
        <w:rPr>
          <w:rStyle w:val="DefaultParagraphFont"/>
        </w:rPr>
      </w:pPr>
      <w:r>
        <w:rPr>
          <w:rStyle w:val="DefaultParagraphFont"/>
        </w:rPr>
        <w:cr/>
      </w:r>
      <w:r>
        <w:rPr>
          <w:rStyle w:val="DefaultParagraphFont"/>
          <w:b/>
          <w:bCs/>
          <w:bdr w:val="nil"/>
          <w:rtl w:val="0"/>
        </w:rPr>
        <w:t>Informace z historie školy: </w:t>
      </w:r>
      <w:r>
        <w:rPr>
          <w:rStyle w:val="DefaultParagraphFont"/>
          <w:b/>
          <w:bCs/>
          <w:bdr w:val="nil"/>
          <w:rtl w:val="0"/>
        </w:rPr>
        <w:t xml:space="preserve">  </w:t>
      </w:r>
    </w:p>
    <w:p>
      <w:pPr>
        <w:bidi w:val="0"/>
        <w:spacing w:before="240" w:after="240"/>
        <w:rPr>
          <w:rStyle w:val="DefaultParagraphFont"/>
        </w:rPr>
      </w:pPr>
      <w:r>
        <w:rPr>
          <w:rStyle w:val="DefaultParagraphFont"/>
          <w:bdr w:val="nil"/>
          <w:rtl w:val="0"/>
        </w:rPr>
        <w:t>založeno 1977</w:t>
      </w:r>
    </w:p>
    <w:p>
      <w:pPr>
        <w:bidi w:val="0"/>
        <w:rPr>
          <w:rStyle w:val="DefaultParagraphFont"/>
        </w:rPr>
        <w:sectPr>
          <w:type w:val="nextColumn"/>
          <w:pgSz w:w="11906" w:h="16838"/>
          <w:pgMar w:top="1440" w:right="1325" w:bottom="1440" w:left="1800" w:header="720" w:footer="720"/>
          <w:cols w:space="720"/>
        </w:sectPr>
      </w:pPr>
    </w:p>
    <w:p>
      <w:pPr>
        <w:pStyle w:val="Heading1"/>
        <w:bidi w:val="0"/>
        <w:spacing w:before="322" w:after="322"/>
        <w:rPr>
          <w:rStyle w:val="DefaultParagraphFont"/>
          <w:b/>
          <w:bCs/>
          <w:sz w:val="48"/>
          <w:szCs w:val="48"/>
          <w:bdr w:val="nil"/>
          <w:rtl w:val="0"/>
        </w:rPr>
      </w:pPr>
      <w:bookmarkStart w:id="10" w:name="_Toc256000010"/>
      <w:r>
        <w:rPr>
          <w:rStyle w:val="DefaultParagraphFont"/>
          <w:b/>
          <w:bCs/>
          <w:sz w:val="48"/>
          <w:szCs w:val="48"/>
          <w:bdr w:val="nil"/>
          <w:rtl w:val="0"/>
        </w:rPr>
        <w:t>Podmínky vzdělávání</w:t>
      </w:r>
      <w:bookmarkEnd w:id="10"/>
      <w:r>
        <w:rPr>
          <w:rStyle w:val="DefaultParagraphFont"/>
          <w:b/>
          <w:bCs/>
          <w:sz w:val="48"/>
          <w:szCs w:val="48"/>
          <w:bdr w:val="nil"/>
          <w:rtl w:val="0"/>
        </w:rPr>
        <w:t> </w:t>
      </w:r>
    </w:p>
    <w:p>
      <w:pPr>
        <w:pStyle w:val="Heading2"/>
        <w:bidi w:val="0"/>
        <w:spacing w:before="299" w:after="299"/>
        <w:rPr>
          <w:rStyle w:val="DefaultParagraphFont"/>
        </w:rPr>
      </w:pPr>
      <w:bookmarkStart w:id="11" w:name="_Toc256000011"/>
      <w:r>
        <w:rPr>
          <w:rStyle w:val="DefaultParagraphFont"/>
          <w:b/>
          <w:bCs/>
          <w:sz w:val="36"/>
          <w:szCs w:val="36"/>
          <w:bdr w:val="nil"/>
          <w:rtl w:val="0"/>
        </w:rPr>
        <w:t>Věcné podmínky</w:t>
      </w:r>
      <w:bookmarkEnd w:id="11"/>
      <w:r>
        <w:rPr>
          <w:rStyle w:val="DefaultParagraphFont"/>
          <w:b/>
          <w:bCs/>
          <w:sz w:val="36"/>
          <w:szCs w:val="36"/>
          <w:bdr w:val="nil"/>
          <w:rtl w:val="0"/>
        </w:rPr>
        <w:t> </w:t>
      </w:r>
    </w:p>
    <w:p>
      <w:pPr>
        <w:bidi w:val="0"/>
        <w:spacing w:before="240" w:after="240"/>
        <w:rPr>
          <w:rStyle w:val="DefaultParagraphFont"/>
        </w:rPr>
      </w:pPr>
      <w:r>
        <w:rPr>
          <w:rStyle w:val="DefaultParagraphFont"/>
          <w:bdr w:val="nil"/>
          <w:rtl w:val="0"/>
        </w:rPr>
        <w:t>Mateřská škola má dostatečně velké prostory - dvě samostatné třídy </w:t>
      </w:r>
    </w:p>
    <w:p>
      <w:pPr>
        <w:bidi w:val="0"/>
        <w:spacing w:before="240" w:after="240"/>
        <w:rPr>
          <w:rStyle w:val="DefaultParagraphFont"/>
        </w:rPr>
      </w:pPr>
      <w:r>
        <w:rPr>
          <w:rStyle w:val="DefaultParagraphFont"/>
          <w:bdr w:val="nil"/>
          <w:rtl w:val="0"/>
        </w:rPr>
        <w:t>Stolky a židle jsou výškově rozlišeny podle velikosti dětí, nábytek je nový, barevný a odpovídá potřebám dětí, všechny hračky a pomůcky mají své místo a jsou umístěny tak, aby na ně děti samy dosáhly, pro spánek máme rozkládací lehátka. </w:t>
      </w:r>
    </w:p>
    <w:p>
      <w:pPr>
        <w:bidi w:val="0"/>
        <w:spacing w:before="240" w:after="240"/>
        <w:rPr>
          <w:rStyle w:val="DefaultParagraphFont"/>
        </w:rPr>
      </w:pPr>
      <w:r>
        <w:rPr>
          <w:rStyle w:val="DefaultParagraphFont"/>
          <w:bdr w:val="nil"/>
          <w:rtl w:val="0"/>
        </w:rPr>
        <w:t>Zakoupeny hračky i pro děti se SVP, kompenzační a didaktické pomůcky, montessori pomůcky, průbězně hračky doplňujeme a obměňujeme. </w:t>
      </w:r>
    </w:p>
    <w:p>
      <w:pPr>
        <w:bidi w:val="0"/>
        <w:spacing w:before="240" w:after="240"/>
        <w:rPr>
          <w:rStyle w:val="DefaultParagraphFont"/>
        </w:rPr>
      </w:pPr>
      <w:r>
        <w:rPr>
          <w:rStyle w:val="DefaultParagraphFont"/>
          <w:bdr w:val="nil"/>
          <w:rtl w:val="0"/>
        </w:rPr>
        <w:t>Hračky a pomůcky jsou umístěny tak, aby na ně děti dobře viděly a mohly si je samostatně brát, náčiní je umístěno ve speciálních skladech. </w:t>
      </w:r>
    </w:p>
    <w:p>
      <w:pPr>
        <w:bidi w:val="0"/>
        <w:spacing w:before="240" w:after="240"/>
        <w:rPr>
          <w:rStyle w:val="DefaultParagraphFont"/>
        </w:rPr>
      </w:pPr>
      <w:r>
        <w:rPr>
          <w:rStyle w:val="DefaultParagraphFont"/>
          <w:bdr w:val="nil"/>
          <w:rtl w:val="0"/>
        </w:rPr>
        <w:t>V přístupových prostorách MŠ je dostatek místa pro vystavení prací dětí. </w:t>
      </w:r>
    </w:p>
    <w:p>
      <w:pPr>
        <w:bidi w:val="0"/>
        <w:spacing w:before="240" w:after="240"/>
        <w:rPr>
          <w:rStyle w:val="DefaultParagraphFont"/>
        </w:rPr>
      </w:pPr>
      <w:r>
        <w:rPr>
          <w:rStyle w:val="DefaultParagraphFont"/>
          <w:bdr w:val="nil"/>
          <w:rtl w:val="0"/>
        </w:rPr>
        <w:t>Na budovu mateřské školy bezprostředně navazuje zahrada. Tyto prostory jsou vybavené tak, aby umožňovaly dětem rozmanité pohybové a další aktivity. </w:t>
      </w:r>
    </w:p>
    <w:p>
      <w:pPr>
        <w:bidi w:val="0"/>
        <w:spacing w:before="240" w:after="240"/>
        <w:rPr>
          <w:rStyle w:val="DefaultParagraphFont"/>
        </w:rPr>
      </w:pPr>
      <w:r>
        <w:rPr>
          <w:rStyle w:val="DefaultParagraphFont"/>
          <w:bdr w:val="nil"/>
          <w:rtl w:val="0"/>
        </w:rPr>
        <w:t>MŠ splňuje všechny bezpečností i hygienické normy dle platných předpisů, děti používají papírové kapesníky a dezinfekci rukou. </w:t>
      </w:r>
    </w:p>
    <w:p>
      <w:pPr>
        <w:bidi w:val="0"/>
        <w:spacing w:before="240" w:after="240"/>
        <w:rPr>
          <w:rStyle w:val="DefaultParagraphFont"/>
        </w:rPr>
      </w:pPr>
      <w:r>
        <w:rPr>
          <w:rStyle w:val="DefaultParagraphFont"/>
          <w:bdr w:val="nil"/>
          <w:rtl w:val="0"/>
        </w:rPr>
        <w:t>Pro práci dvou tříd a vzrůstajícím požadavkům na kapacitu potřebujeme větší a oddělené prostory. Ve spolupráci se zřizovatelem se usilujeme o přístavbu MŠ. </w:t>
      </w:r>
    </w:p>
    <w:p>
      <w:pPr>
        <w:pStyle w:val="Heading2"/>
        <w:bidi w:val="0"/>
        <w:spacing w:before="299" w:after="299"/>
        <w:rPr>
          <w:rStyle w:val="DefaultParagraphFont"/>
        </w:rPr>
      </w:pPr>
      <w:bookmarkStart w:id="12" w:name="_Toc256000012"/>
      <w:r>
        <w:rPr>
          <w:rStyle w:val="DefaultParagraphFont"/>
          <w:b/>
          <w:bCs/>
          <w:sz w:val="36"/>
          <w:szCs w:val="36"/>
          <w:bdr w:val="nil"/>
          <w:rtl w:val="0"/>
        </w:rPr>
        <w:t>Životospráva</w:t>
      </w:r>
      <w:bookmarkEnd w:id="12"/>
      <w:r>
        <w:rPr>
          <w:rStyle w:val="DefaultParagraphFont"/>
          <w:b/>
          <w:bCs/>
          <w:sz w:val="36"/>
          <w:szCs w:val="36"/>
          <w:bdr w:val="nil"/>
          <w:rtl w:val="0"/>
        </w:rPr>
        <w:t> </w:t>
      </w:r>
    </w:p>
    <w:p>
      <w:pPr>
        <w:bidi w:val="0"/>
        <w:spacing w:before="240" w:after="240"/>
        <w:rPr>
          <w:rStyle w:val="DefaultParagraphFont"/>
        </w:rPr>
      </w:pPr>
      <w:r>
        <w:rPr>
          <w:rStyle w:val="DefaultParagraphFont"/>
          <w:bdr w:val="nil"/>
          <w:rtl w:val="0"/>
        </w:rPr>
        <w:t>Děti dostávají plnohodnotnou a vyváženou stravu, po celý den je zajištěn pitný režim (čaj a voda), jak ve třídě, tak na zahradě. Do jídla dětí nenutíme, v průběhu dopoledne dostávají pravidělně ovoce a zeleninu, kterou si mohou samy brát. </w:t>
      </w:r>
    </w:p>
    <w:p>
      <w:pPr>
        <w:bidi w:val="0"/>
        <w:spacing w:before="240" w:after="240"/>
        <w:rPr>
          <w:rStyle w:val="DefaultParagraphFont"/>
        </w:rPr>
      </w:pPr>
      <w:r>
        <w:rPr>
          <w:rStyle w:val="DefaultParagraphFont"/>
          <w:bdr w:val="nil"/>
          <w:rtl w:val="0"/>
        </w:rPr>
        <w:t>V MŠ je dodržován pravidelný denní rytmus, který dle potřeby můžeme přizpůsobit aktuální situaci. Rodiče mohou podle potřeby přivádět děti do MŠ dle nastálých události (např. návštěva lékařů, atd...) </w:t>
      </w:r>
    </w:p>
    <w:p>
      <w:pPr>
        <w:bidi w:val="0"/>
        <w:spacing w:before="240" w:after="240"/>
        <w:rPr>
          <w:rStyle w:val="DefaultParagraphFont"/>
        </w:rPr>
      </w:pPr>
      <w:r>
        <w:rPr>
          <w:rStyle w:val="DefaultParagraphFont"/>
          <w:bdr w:val="nil"/>
          <w:rtl w:val="0"/>
        </w:rPr>
        <w:t>Děti mají dostatek volného pohybu na zahradě i v přírodě, na hřišti nebo tělocvičně. </w:t>
      </w:r>
    </w:p>
    <w:p>
      <w:pPr>
        <w:bidi w:val="0"/>
        <w:spacing w:before="240" w:after="240"/>
        <w:rPr>
          <w:rStyle w:val="DefaultParagraphFont"/>
        </w:rPr>
      </w:pPr>
      <w:r>
        <w:rPr>
          <w:rStyle w:val="DefaultParagraphFont"/>
          <w:bdr w:val="nil"/>
          <w:rtl w:val="0"/>
        </w:rPr>
        <w:t>V MŠ je dostatečný prostor pro volný pohyb dětí o dvou třídách. </w:t>
      </w:r>
    </w:p>
    <w:p>
      <w:pPr>
        <w:bidi w:val="0"/>
        <w:spacing w:before="240" w:after="240"/>
        <w:rPr>
          <w:rStyle w:val="DefaultParagraphFont"/>
        </w:rPr>
      </w:pPr>
      <w:r>
        <w:rPr>
          <w:rStyle w:val="DefaultParagraphFont"/>
          <w:bdr w:val="nil"/>
          <w:rtl w:val="0"/>
        </w:rPr>
        <w:t>Respektujeme individuální potřeby aktivity i potřeby spánku, umožňujeme dětem klidné činnosti (např. kreslení, prohlížení knihy,..) </w:t>
      </w:r>
    </w:p>
    <w:p>
      <w:pPr>
        <w:bidi w:val="0"/>
        <w:spacing w:before="240" w:after="240"/>
        <w:rPr>
          <w:rStyle w:val="DefaultParagraphFont"/>
        </w:rPr>
      </w:pPr>
      <w:r>
        <w:rPr>
          <w:rStyle w:val="DefaultParagraphFont"/>
          <w:bdr w:val="nil"/>
          <w:rtl w:val="0"/>
        </w:rPr>
        <w:t>Učitelé se sami chovají podle zásad zdravého životního stylu a postytují dětem přirozený vzor. </w:t>
      </w:r>
    </w:p>
    <w:p>
      <w:pPr>
        <w:bidi w:val="0"/>
        <w:spacing w:before="240" w:after="240"/>
        <w:rPr>
          <w:rStyle w:val="DefaultParagraphFont"/>
        </w:rPr>
      </w:pPr>
      <w:r>
        <w:rPr>
          <w:rStyle w:val="DefaultParagraphFont"/>
          <w:bdr w:val="nil"/>
          <w:rtl w:val="0"/>
        </w:rPr>
        <w:t>Podmínky jsou v současné době vyhovující. </w:t>
      </w:r>
    </w:p>
    <w:p>
      <w:pPr>
        <w:pStyle w:val="Heading2"/>
        <w:bidi w:val="0"/>
        <w:spacing w:before="299" w:after="299"/>
        <w:rPr>
          <w:rStyle w:val="DefaultParagraphFont"/>
        </w:rPr>
      </w:pPr>
      <w:bookmarkStart w:id="13" w:name="_Toc256000013"/>
      <w:r>
        <w:rPr>
          <w:rStyle w:val="DefaultParagraphFont"/>
          <w:b/>
          <w:bCs/>
          <w:sz w:val="36"/>
          <w:szCs w:val="36"/>
          <w:bdr w:val="nil"/>
          <w:rtl w:val="0"/>
        </w:rPr>
        <w:t>Psychosociální podmínky</w:t>
      </w:r>
      <w:bookmarkEnd w:id="13"/>
      <w:r>
        <w:rPr>
          <w:rStyle w:val="DefaultParagraphFont"/>
          <w:b/>
          <w:bCs/>
          <w:sz w:val="36"/>
          <w:szCs w:val="36"/>
          <w:bdr w:val="nil"/>
          <w:rtl w:val="0"/>
        </w:rPr>
        <w:t> </w:t>
      </w:r>
    </w:p>
    <w:p>
      <w:pPr>
        <w:bidi w:val="0"/>
        <w:spacing w:before="240" w:after="240"/>
        <w:rPr>
          <w:rStyle w:val="DefaultParagraphFont"/>
        </w:rPr>
      </w:pPr>
      <w:r>
        <w:rPr>
          <w:rStyle w:val="DefaultParagraphFont"/>
          <w:bdr w:val="nil"/>
          <w:rtl w:val="0"/>
        </w:rPr>
        <w:t>Všichni zaměstnanci MŠ vytvářejí dětem takové prostředí, aby se cítily spokojeně a v bezpečí. Vedeme děti k předcházením vzájemných konfliktů, ke spolupráci a ohleduplnosti. </w:t>
      </w:r>
    </w:p>
    <w:p>
      <w:pPr>
        <w:bidi w:val="0"/>
        <w:spacing w:before="240" w:after="240"/>
        <w:rPr>
          <w:rStyle w:val="DefaultParagraphFont"/>
        </w:rPr>
      </w:pPr>
      <w:r>
        <w:rPr>
          <w:rStyle w:val="DefaultParagraphFont"/>
          <w:bdr w:val="nil"/>
          <w:rtl w:val="0"/>
        </w:rPr>
        <w:t>Nově příchozí děti mají možnost postupné adaptace spolu s rodiči, dle individuálního přání si mohou přinést svoji hračku. </w:t>
      </w:r>
    </w:p>
    <w:p>
      <w:pPr>
        <w:bidi w:val="0"/>
        <w:spacing w:before="240" w:after="240"/>
        <w:rPr>
          <w:rStyle w:val="DefaultParagraphFont"/>
        </w:rPr>
      </w:pPr>
      <w:r>
        <w:rPr>
          <w:rStyle w:val="DefaultParagraphFont"/>
          <w:bdr w:val="nil"/>
          <w:rtl w:val="0"/>
        </w:rPr>
        <w:t>V práci s dětmi převažuje kladné hodnocení a pochvala. Děti se mohou samostatně projevovat a vyslovit svůj názor. </w:t>
      </w:r>
    </w:p>
    <w:p>
      <w:pPr>
        <w:bidi w:val="0"/>
        <w:spacing w:before="240" w:after="240"/>
        <w:rPr>
          <w:rStyle w:val="DefaultParagraphFont"/>
        </w:rPr>
      </w:pPr>
      <w:r>
        <w:rPr>
          <w:rStyle w:val="DefaultParagraphFont"/>
          <w:bdr w:val="nil"/>
          <w:rtl w:val="0"/>
        </w:rPr>
        <w:t>Ke všem dětem přistupujeme rovnocenně, respektujeme individuální potřeby dětí s SVP. </w:t>
      </w:r>
    </w:p>
    <w:p>
      <w:pPr>
        <w:bidi w:val="0"/>
        <w:spacing w:before="240" w:after="240"/>
        <w:rPr>
          <w:rStyle w:val="DefaultParagraphFont"/>
        </w:rPr>
      </w:pPr>
      <w:r>
        <w:rPr>
          <w:rStyle w:val="DefaultParagraphFont"/>
          <w:bdr w:val="nil"/>
          <w:rtl w:val="0"/>
        </w:rPr>
        <w:t>Naším záměrem je umožnit dětem dostatečnou volnost, ale zároveň dodržovat dohodnutá pravidla společného soužití. </w:t>
      </w:r>
    </w:p>
    <w:p>
      <w:pPr>
        <w:bidi w:val="0"/>
        <w:spacing w:before="240" w:after="240"/>
        <w:rPr>
          <w:rStyle w:val="DefaultParagraphFont"/>
        </w:rPr>
      </w:pPr>
      <w:r>
        <w:rPr>
          <w:rStyle w:val="DefaultParagraphFont"/>
          <w:bdr w:val="nil"/>
          <w:rtl w:val="0"/>
        </w:rPr>
        <w:t>Společně s dětmi jsme vytvořily tabulku jednoduchých pravidel, která se všichni snažíme doržovat. </w:t>
      </w:r>
    </w:p>
    <w:p>
      <w:pPr>
        <w:bidi w:val="0"/>
        <w:spacing w:before="240" w:after="240"/>
        <w:rPr>
          <w:rStyle w:val="DefaultParagraphFont"/>
        </w:rPr>
      </w:pPr>
      <w:r>
        <w:rPr>
          <w:rStyle w:val="DefaultParagraphFont"/>
          <w:bdr w:val="nil"/>
          <w:rtl w:val="0"/>
        </w:rPr>
        <w:t>Při řízené činnosti vycházíme z aktuální situace a potřeb dětí, pracujeme v klidném prostředí, neorganizujeme zbytečně děti, necháváme jim volný prostor pro vlastní vyjádření. a </w:t>
      </w:r>
    </w:p>
    <w:p>
      <w:pPr>
        <w:bidi w:val="0"/>
        <w:spacing w:before="240" w:after="240"/>
        <w:rPr>
          <w:rStyle w:val="DefaultParagraphFont"/>
        </w:rPr>
      </w:pPr>
      <w:r>
        <w:rPr>
          <w:rStyle w:val="DefaultParagraphFont"/>
          <w:bdr w:val="nil"/>
          <w:rtl w:val="0"/>
        </w:rPr>
        <w:t>Děti mají možnost spolurozhodovat při různých činnostech a aktivitách, projevit svůj názor a přání. </w:t>
      </w:r>
    </w:p>
    <w:p>
      <w:pPr>
        <w:bidi w:val="0"/>
        <w:spacing w:before="240" w:after="240"/>
        <w:rPr>
          <w:rStyle w:val="DefaultParagraphFont"/>
        </w:rPr>
      </w:pPr>
      <w:r>
        <w:rPr>
          <w:rStyle w:val="DefaultParagraphFont"/>
          <w:bdr w:val="nil"/>
          <w:rtl w:val="0"/>
        </w:rPr>
        <w:t>V práci s dětmi využíváme kladné hodnocení a pochvalu a povzbuzení, využíváme vhodnou motivaci pro zlepšení výsledků. </w:t>
      </w:r>
    </w:p>
    <w:p>
      <w:pPr>
        <w:bidi w:val="0"/>
        <w:spacing w:before="240" w:after="240"/>
        <w:rPr>
          <w:rStyle w:val="DefaultParagraphFont"/>
        </w:rPr>
      </w:pPr>
      <w:r>
        <w:rPr>
          <w:rStyle w:val="DefaultParagraphFont"/>
          <w:bdr w:val="nil"/>
          <w:rtl w:val="0"/>
        </w:rPr>
        <w:t>Vztahy mezi dospělými a dětmi jsou založeny na vzájemné důvěře a tolernci, ohleduplnosti a zdvořilosti. Děti vědí, že učitelka je pro ně oporou a mohou se na ni se vším obrátit. </w:t>
      </w:r>
    </w:p>
    <w:p>
      <w:pPr>
        <w:bidi w:val="0"/>
        <w:spacing w:before="240" w:after="240"/>
        <w:rPr>
          <w:rStyle w:val="DefaultParagraphFont"/>
        </w:rPr>
      </w:pPr>
      <w:r>
        <w:rPr>
          <w:rStyle w:val="DefaultParagraphFont"/>
          <w:bdr w:val="nil"/>
          <w:rtl w:val="0"/>
        </w:rPr>
        <w:t>Vedeme děti k předcházení vzájemných konfliktů, ke spolupráci a ohleduplnosti, učíme děti řešit problémy domluvou. </w:t>
      </w:r>
    </w:p>
    <w:p>
      <w:pPr>
        <w:bidi w:val="0"/>
        <w:rPr>
          <w:rStyle w:val="DefaultParagraphFont"/>
        </w:rPr>
      </w:pPr>
    </w:p>
    <w:p>
      <w:pPr>
        <w:pStyle w:val="Heading2"/>
        <w:bidi w:val="0"/>
        <w:spacing w:before="299" w:after="299"/>
        <w:rPr>
          <w:rStyle w:val="DefaultParagraphFont"/>
        </w:rPr>
      </w:pPr>
      <w:bookmarkStart w:id="14" w:name="_Toc256000014"/>
      <w:r>
        <w:rPr>
          <w:rStyle w:val="DefaultParagraphFont"/>
          <w:b/>
          <w:bCs/>
          <w:sz w:val="36"/>
          <w:szCs w:val="36"/>
          <w:bdr w:val="nil"/>
          <w:rtl w:val="0"/>
        </w:rPr>
        <w:t>Organizace chodu</w:t>
      </w:r>
      <w:bookmarkEnd w:id="14"/>
      <w:r>
        <w:rPr>
          <w:rStyle w:val="DefaultParagraphFont"/>
          <w:b/>
          <w:bCs/>
          <w:sz w:val="36"/>
          <w:szCs w:val="36"/>
          <w:bdr w:val="nil"/>
          <w:rtl w:val="0"/>
        </w:rPr>
        <w:t> </w:t>
      </w:r>
    </w:p>
    <w:p>
      <w:pPr>
        <w:bidi w:val="0"/>
        <w:spacing w:before="240" w:after="240"/>
        <w:rPr>
          <w:rStyle w:val="DefaultParagraphFont"/>
        </w:rPr>
      </w:pPr>
      <w:r>
        <w:rPr>
          <w:rStyle w:val="DefaultParagraphFont"/>
          <w:bdr w:val="nil"/>
          <w:rtl w:val="0"/>
        </w:rPr>
        <w:t>Denní řád je pružný, umožňuje reagovat na aktuální situace. </w:t>
      </w:r>
    </w:p>
    <w:p>
      <w:pPr>
        <w:bidi w:val="0"/>
        <w:spacing w:before="240" w:after="240"/>
        <w:rPr>
          <w:rStyle w:val="DefaultParagraphFont"/>
        </w:rPr>
      </w:pPr>
      <w:r>
        <w:rPr>
          <w:rStyle w:val="DefaultParagraphFont"/>
          <w:bdr w:val="nil"/>
          <w:rtl w:val="0"/>
        </w:rPr>
        <w:t>Provoz MŠ je od 6:15 hod. do 16:15 hod. Provoz jednotlivých tříd: Koťátka 6:15 hod. - 16:00, Sovičky 6:30 - 16:15. Děti se ráno scházejí od 6:15 do 6:30 ve třídě Soviček a odpoledne se rozcházejí od 16:00 do 16:15 hod. též ve třídě Soviček. </w:t>
      </w:r>
    </w:p>
    <w:p>
      <w:pPr>
        <w:bidi w:val="0"/>
        <w:spacing w:before="240" w:after="240"/>
        <w:rPr>
          <w:rStyle w:val="DefaultParagraphFont"/>
        </w:rPr>
      </w:pPr>
      <w:r>
        <w:rPr>
          <w:rStyle w:val="DefaultParagraphFont"/>
          <w:bdr w:val="nil"/>
          <w:rtl w:val="0"/>
        </w:rPr>
        <w:t>Časové rozvržení denního režimu je předmětem každé třídy dle jejich specifik a je zpracováno v TVP. </w:t>
      </w:r>
    </w:p>
    <w:p>
      <w:pPr>
        <w:bidi w:val="0"/>
        <w:spacing w:before="240" w:after="240"/>
        <w:rPr>
          <w:rStyle w:val="DefaultParagraphFont"/>
        </w:rPr>
      </w:pPr>
      <w:r>
        <w:rPr>
          <w:rStyle w:val="DefaultParagraphFont"/>
          <w:bdr w:val="nil"/>
          <w:rtl w:val="0"/>
        </w:rPr>
        <w:t>Pravidelně zažarujeme pohybové aktivity, jako je zdravotní cvičení, rozcvičky, jógu pro děti, pohybové hry s hudbou. Nejstarší děti absolvují kurz bruslení, plavání, využívají místní tělocvičnu. Hřiště T.J. Sokol Ejpovice využívají všechny děti. </w:t>
      </w:r>
    </w:p>
    <w:p>
      <w:pPr>
        <w:bidi w:val="0"/>
        <w:spacing w:before="240" w:after="240"/>
        <w:rPr>
          <w:rStyle w:val="DefaultParagraphFont"/>
        </w:rPr>
      </w:pPr>
      <w:r>
        <w:rPr>
          <w:rStyle w:val="DefaultParagraphFont"/>
          <w:bdr w:val="nil"/>
          <w:rtl w:val="0"/>
        </w:rPr>
        <w:t>V průběhu dne se střídají volné i řízené činnosti vyváženě, děti mají dostatek prostoru pro spontánní hru, pracují ve skupinách, individuálně. Plánování činnosti vychází z RVP, TVP a potřeba a zámů dětí, respektujeme individuání schopnosti. </w:t>
      </w:r>
    </w:p>
    <w:p>
      <w:pPr>
        <w:bidi w:val="0"/>
        <w:spacing w:before="240" w:after="240"/>
        <w:rPr>
          <w:rStyle w:val="DefaultParagraphFont"/>
        </w:rPr>
      </w:pPr>
      <w:r>
        <w:rPr>
          <w:rStyle w:val="DefaultParagraphFont"/>
          <w:bdr w:val="nil"/>
          <w:rtl w:val="0"/>
        </w:rPr>
        <w:t>Děti mají pro své činnosti a hry potřebné zájemí MŠ, klid i soukromí, jsou nenásilně zapojovány do společných činností. </w:t>
      </w:r>
    </w:p>
    <w:p>
      <w:pPr>
        <w:bidi w:val="0"/>
        <w:spacing w:before="240" w:after="240"/>
        <w:rPr>
          <w:rStyle w:val="DefaultParagraphFont"/>
        </w:rPr>
      </w:pPr>
      <w:r>
        <w:rPr>
          <w:rStyle w:val="DefaultParagraphFont"/>
          <w:bdr w:val="nil"/>
          <w:rtl w:val="0"/>
        </w:rPr>
        <w:t>Nově příchozí děti mají možnost postupné adaptace spolu s rodiči, dle individuálního přání si mohou přinést svoji hračku. Na děti není vyvíjen nátlak, pokud jsou citlivé a adaptují se.  Individuálně přistupujeme ke všem dětem. </w:t>
      </w:r>
    </w:p>
    <w:p>
      <w:pPr>
        <w:bidi w:val="0"/>
        <w:spacing w:before="240" w:after="240"/>
        <w:rPr>
          <w:rStyle w:val="DefaultParagraphFont"/>
        </w:rPr>
      </w:pPr>
      <w:r>
        <w:rPr>
          <w:rStyle w:val="DefaultParagraphFont"/>
          <w:bdr w:val="nil"/>
          <w:rtl w:val="0"/>
        </w:rPr>
        <w:t>Poměr spontánních a řízených činností je vyvážený, děti mají dostatek prostoru pro volnou hru, pracují ve skupinách, individuálně. </w:t>
      </w:r>
    </w:p>
    <w:p>
      <w:pPr>
        <w:bidi w:val="0"/>
        <w:spacing w:before="240" w:after="240"/>
        <w:rPr>
          <w:rStyle w:val="DefaultParagraphFont"/>
        </w:rPr>
      </w:pPr>
      <w:r>
        <w:rPr>
          <w:rStyle w:val="DefaultParagraphFont"/>
          <w:bdr w:val="nil"/>
          <w:rtl w:val="0"/>
        </w:rPr>
        <w:t>Dětem je umožněno ve spontánních činnostech pokračovat (např. v kreslení, rozestavěná stavebnice, rozehraná hra, apod.) </w:t>
      </w:r>
    </w:p>
    <w:p>
      <w:pPr>
        <w:bidi w:val="0"/>
        <w:spacing w:before="240" w:after="240"/>
        <w:rPr>
          <w:rStyle w:val="DefaultParagraphFont"/>
        </w:rPr>
      </w:pPr>
      <w:r>
        <w:rPr>
          <w:rStyle w:val="DefaultParagraphFont"/>
          <w:bdr w:val="nil"/>
          <w:rtl w:val="0"/>
        </w:rPr>
        <w:t>Podněcujeme děti k vlastní aktivitě. Plánování činností vychází z potřeb a zájmu dětí, respektujeme jejich individuální schopnosti. Necháváme děti, aby pracovaly svým tempem. </w:t>
      </w:r>
    </w:p>
    <w:p>
      <w:pPr>
        <w:bidi w:val="0"/>
        <w:spacing w:before="240" w:after="240"/>
        <w:rPr>
          <w:rStyle w:val="DefaultParagraphFont"/>
        </w:rPr>
      </w:pPr>
      <w:r>
        <w:rPr>
          <w:rStyle w:val="DefaultParagraphFont"/>
          <w:bdr w:val="nil"/>
          <w:rtl w:val="0"/>
        </w:rPr>
        <w:t>Děti mají pro své hry a činnosti potřebné zázemí, klid i soukromí, jsou nenásilně zapojovány do společných činností. </w:t>
      </w:r>
    </w:p>
    <w:p>
      <w:pPr>
        <w:bidi w:val="0"/>
        <w:spacing w:before="240" w:after="240"/>
        <w:rPr>
          <w:rStyle w:val="DefaultParagraphFont"/>
        </w:rPr>
      </w:pPr>
      <w:r>
        <w:rPr>
          <w:rStyle w:val="DefaultParagraphFont"/>
          <w:bdr w:val="nil"/>
          <w:rtl w:val="0"/>
        </w:rPr>
        <w:t>Je dostatečně dbáno na osobní soukromí dětí. Pokud to děti potřebují, mají možnost uchýlit se do klidného koutku a neúčastnit se společných činností, stejně tak i možnost soukromí při osobní hygieně. </w:t>
      </w:r>
    </w:p>
    <w:p>
      <w:pPr>
        <w:bidi w:val="0"/>
        <w:spacing w:before="240" w:after="240"/>
        <w:rPr>
          <w:rStyle w:val="DefaultParagraphFont"/>
        </w:rPr>
      </w:pPr>
      <w:r>
        <w:rPr>
          <w:rStyle w:val="DefaultParagraphFont"/>
          <w:bdr w:val="nil"/>
          <w:rtl w:val="0"/>
        </w:rPr>
        <w:t>Plánování činností vychází z potřeb a zájmů dětí, respektujeme jejich individuální schopnosti. Děti mají pro své hry a činnosti potřebné zázemí. </w:t>
      </w:r>
    </w:p>
    <w:p>
      <w:pPr>
        <w:bidi w:val="0"/>
        <w:spacing w:before="240" w:after="240"/>
        <w:rPr>
          <w:rStyle w:val="DefaultParagraphFont"/>
        </w:rPr>
      </w:pPr>
      <w:r>
        <w:rPr>
          <w:rStyle w:val="DefaultParagraphFont"/>
          <w:bdr w:val="nil"/>
          <w:rtl w:val="0"/>
        </w:rPr>
        <w:t>Školka disponuje velkým množstvím materiálního zázemí jak pro činnost s dětmi, tak pro věcné vybavení MŠ, tělovýchovné pomůcky, hračky, apod. Vybavení je dostatečně kvalitní a bezpečné a pomůcky jsou připravovány včas dle aktuálního denního plánu. Dle možností MŠ pořizujeme nové pomůcky, didaktické hry a hračky v průběhu roku. </w:t>
      </w:r>
    </w:p>
    <w:p>
      <w:pPr>
        <w:bidi w:val="0"/>
        <w:spacing w:before="240" w:after="240"/>
        <w:rPr>
          <w:rStyle w:val="DefaultParagraphFont"/>
        </w:rPr>
      </w:pPr>
      <w:r>
        <w:rPr>
          <w:rStyle w:val="DefaultParagraphFont"/>
          <w:bdr w:val="nil"/>
          <w:rtl w:val="0"/>
        </w:rPr>
        <w:t>Nejsou překračovány stanovené počty dětí ve třídě , spojování tříd je maximálně omezeno. </w:t>
      </w:r>
    </w:p>
    <w:p>
      <w:pPr>
        <w:bidi w:val="0"/>
        <w:rPr>
          <w:rStyle w:val="DefaultParagraphFont"/>
        </w:rPr>
      </w:pPr>
    </w:p>
    <w:p>
      <w:pPr>
        <w:pStyle w:val="Heading2"/>
        <w:bidi w:val="0"/>
        <w:spacing w:before="299" w:after="299"/>
        <w:rPr>
          <w:rStyle w:val="DefaultParagraphFont"/>
        </w:rPr>
      </w:pPr>
      <w:bookmarkStart w:id="15" w:name="_Toc256000015"/>
      <w:r>
        <w:rPr>
          <w:rStyle w:val="DefaultParagraphFont"/>
          <w:b/>
          <w:bCs/>
          <w:sz w:val="36"/>
          <w:szCs w:val="36"/>
          <w:bdr w:val="nil"/>
          <w:rtl w:val="0"/>
        </w:rPr>
        <w:t>Řízení mateřské školy</w:t>
      </w:r>
      <w:bookmarkEnd w:id="15"/>
      <w:r>
        <w:rPr>
          <w:rStyle w:val="DefaultParagraphFont"/>
          <w:b/>
          <w:bCs/>
          <w:sz w:val="36"/>
          <w:szCs w:val="36"/>
          <w:bdr w:val="nil"/>
          <w:rtl w:val="0"/>
        </w:rPr>
        <w:t> </w:t>
      </w:r>
    </w:p>
    <w:p>
      <w:pPr>
        <w:bidi w:val="0"/>
        <w:spacing w:before="240" w:after="240"/>
        <w:rPr>
          <w:rStyle w:val="DefaultParagraphFont"/>
        </w:rPr>
      </w:pPr>
      <w:r>
        <w:rPr>
          <w:rStyle w:val="DefaultParagraphFont"/>
          <w:bdr w:val="nil"/>
          <w:rtl w:val="0"/>
        </w:rPr>
        <w:t>Zaměstnanci pracují svědomitě a zodpovědně, plní povinnosti a pravomoci, pedag.pracovnice se podílejí na vytváření ŠVP a TVP, z výsledků evaluační činnosti vyvozují závěry pro další práci. Povinnosti, pravomoci a úkoly všech zaměstnanců jsou jasně vymezeny. </w:t>
      </w:r>
    </w:p>
    <w:p>
      <w:pPr>
        <w:bidi w:val="0"/>
        <w:spacing w:before="240" w:after="240"/>
        <w:rPr>
          <w:rStyle w:val="DefaultParagraphFont"/>
        </w:rPr>
      </w:pPr>
      <w:r>
        <w:rPr>
          <w:rStyle w:val="DefaultParagraphFont"/>
          <w:bdr w:val="nil"/>
          <w:rtl w:val="0"/>
        </w:rPr>
        <w:t>Je vytvořen funkční informační systém, a to jak uvnitř mateřské školy, tak navenek (webové stránky školy, informační emaily, nástěnky v MŠ). </w:t>
      </w:r>
    </w:p>
    <w:p>
      <w:pPr>
        <w:bidi w:val="0"/>
        <w:spacing w:before="240" w:after="240"/>
        <w:rPr>
          <w:rStyle w:val="DefaultParagraphFont"/>
        </w:rPr>
      </w:pPr>
      <w:r>
        <w:rPr>
          <w:rStyle w:val="DefaultParagraphFont"/>
          <w:bdr w:val="nil"/>
          <w:rtl w:val="0"/>
        </w:rPr>
        <w:t>Při vedení zaměstnanců ředitel vytváří ovzduší vzájemné důvěry a tolerance, zapojuje spolupracovníky do řízení mateřské školy, ponechává jim dostatek pravomocí a respektuje jejich názor. Podporuje a motivuje spoluúčast všech členů týmu na rozhodování o zásadních otázkách školního programu. </w:t>
      </w:r>
    </w:p>
    <w:p>
      <w:pPr>
        <w:bidi w:val="0"/>
        <w:spacing w:before="240" w:after="240"/>
        <w:rPr>
          <w:rStyle w:val="DefaultParagraphFont"/>
        </w:rPr>
      </w:pPr>
      <w:r>
        <w:rPr>
          <w:rStyle w:val="DefaultParagraphFont"/>
          <w:bdr w:val="nil"/>
          <w:rtl w:val="0"/>
        </w:rPr>
        <w:t>Pedagogové se účastní seminářů dle nabídky pedagogického centra v Plzni, využívají odborných knih a časopisů k sebevzdělávání, jsou pozitivně motivovány a podporovány paní ředitelkou. </w:t>
      </w:r>
    </w:p>
    <w:p>
      <w:pPr>
        <w:bidi w:val="0"/>
        <w:spacing w:before="240" w:after="240"/>
        <w:rPr>
          <w:rStyle w:val="DefaultParagraphFont"/>
        </w:rPr>
      </w:pPr>
      <w:r>
        <w:rPr>
          <w:rStyle w:val="DefaultParagraphFont"/>
          <w:bdr w:val="nil"/>
          <w:rtl w:val="0"/>
        </w:rPr>
        <w:t>Pedagogové pracují v souladu s pedagog. a metodickými zásadami výchovy a vzdělávání. Ve vztazích s rodiči podporujeme vzájemnou důvěru, rodiče zveme na společné schůzky a akce,mají možnost se zapojit do dění v MŠ,jsou pravidelně informováni o aktualitách. </w:t>
      </w:r>
    </w:p>
    <w:p>
      <w:pPr>
        <w:bidi w:val="0"/>
        <w:spacing w:before="240" w:after="240"/>
        <w:rPr>
          <w:rStyle w:val="DefaultParagraphFont"/>
        </w:rPr>
      </w:pPr>
      <w:r>
        <w:rPr>
          <w:rStyle w:val="DefaultParagraphFont"/>
          <w:bdr w:val="nil"/>
          <w:rtl w:val="0"/>
        </w:rPr>
        <w:t>Při tvoření plánů vycházíme z RVP - PV, vycházíme z analýzy předchozího roku. Vzdělávání dětí je uskutečňováno v průběhu celého dne, ve všech činnostech a situacích formou prožitkového učení. </w:t>
      </w:r>
    </w:p>
    <w:p>
      <w:pPr>
        <w:bidi w:val="0"/>
        <w:spacing w:before="240" w:after="240"/>
        <w:rPr>
          <w:rStyle w:val="DefaultParagraphFont"/>
        </w:rPr>
      </w:pPr>
      <w:r>
        <w:rPr>
          <w:rStyle w:val="DefaultParagraphFont"/>
          <w:bdr w:val="nil"/>
          <w:rtl w:val="0"/>
        </w:rPr>
        <w:t>Školní vzdělávací program zpracovávají všechny učitelky společně, zahrnuje všechny stránky chodu MŠ. Kontrolní a evaluační činnosti zahrnují všechny stránky chodu mateřské školy, jsou smysluplné a užitečné. Z výsledků jsou vyvozovány závěry pro další práci. </w:t>
      </w:r>
    </w:p>
    <w:p>
      <w:pPr>
        <w:bidi w:val="0"/>
        <w:spacing w:before="240" w:after="240"/>
        <w:rPr>
          <w:rStyle w:val="DefaultParagraphFont"/>
        </w:rPr>
      </w:pPr>
      <w:r>
        <w:rPr>
          <w:rStyle w:val="DefaultParagraphFont"/>
          <w:bdr w:val="nil"/>
          <w:rtl w:val="0"/>
        </w:rPr>
        <w:t>MŠ spolupracuje s rodiči, se základní školou, se zřizovatelem, s místními organizacemi (Sokol, Hasiči), s místní a rokycanskou knihovnou. Úzce spolupracujeme s PPP v Rokycanech. Občas spolupracujeme s volnočasovými organizacemi (např. výroba keramiky, apod.). </w:t>
      </w:r>
    </w:p>
    <w:p>
      <w:pPr>
        <w:bidi w:val="0"/>
        <w:spacing w:before="240" w:after="240"/>
        <w:rPr>
          <w:rStyle w:val="DefaultParagraphFont"/>
        </w:rPr>
      </w:pPr>
      <w:r>
        <w:rPr>
          <w:rStyle w:val="DefaultParagraphFont"/>
          <w:bdr w:val="nil"/>
          <w:rtl w:val="0"/>
        </w:rPr>
        <w:t>V současné době probíhá rekonstrukce školní zahrady. </w:t>
      </w:r>
    </w:p>
    <w:p>
      <w:pPr>
        <w:pStyle w:val="Heading2"/>
        <w:bidi w:val="0"/>
        <w:spacing w:before="299" w:after="299"/>
        <w:rPr>
          <w:rStyle w:val="DefaultParagraphFont"/>
        </w:rPr>
      </w:pPr>
      <w:bookmarkStart w:id="16" w:name="_Toc256000016"/>
      <w:r>
        <w:rPr>
          <w:rStyle w:val="DefaultParagraphFont"/>
          <w:b/>
          <w:bCs/>
          <w:sz w:val="36"/>
          <w:szCs w:val="36"/>
          <w:bdr w:val="nil"/>
          <w:rtl w:val="0"/>
        </w:rPr>
        <w:t>Personální a pedagogické zajištění</w:t>
      </w:r>
      <w:bookmarkEnd w:id="16"/>
      <w:r>
        <w:rPr>
          <w:rStyle w:val="DefaultParagraphFont"/>
          <w:b/>
          <w:bCs/>
          <w:sz w:val="36"/>
          <w:szCs w:val="36"/>
          <w:bdr w:val="nil"/>
          <w:rtl w:val="0"/>
        </w:rPr>
        <w:t> </w:t>
      </w:r>
    </w:p>
    <w:p>
      <w:pPr>
        <w:bidi w:val="0"/>
        <w:spacing w:before="240" w:after="240"/>
        <w:rPr>
          <w:rStyle w:val="DefaultParagraphFont"/>
        </w:rPr>
      </w:pPr>
      <w:r>
        <w:rPr>
          <w:rStyle w:val="DefaultParagraphFont"/>
          <w:bdr w:val="nil"/>
          <w:rtl w:val="0"/>
        </w:rPr>
        <w:t>Všichni pracovníci MŠ mají odpovídající kvalifikaci pro svoji práci. </w:t>
      </w:r>
    </w:p>
    <w:p>
      <w:pPr>
        <w:bidi w:val="0"/>
        <w:spacing w:before="240" w:after="240"/>
        <w:rPr>
          <w:rStyle w:val="DefaultParagraphFont"/>
        </w:rPr>
      </w:pPr>
      <w:r>
        <w:rPr>
          <w:rStyle w:val="DefaultParagraphFont"/>
          <w:bdr w:val="nil"/>
          <w:rtl w:val="0"/>
        </w:rPr>
        <w:t>Pedagogický sbor funguje na základě jasně vymezených pravidel, všichni pedagogové pracují v souladu s pedagogickými a metodickými zásadami výchovy a vzdělávání předškolních dětí. </w:t>
      </w:r>
    </w:p>
    <w:p>
      <w:pPr>
        <w:bidi w:val="0"/>
        <w:spacing w:before="240" w:after="240"/>
        <w:rPr>
          <w:rStyle w:val="DefaultParagraphFont"/>
        </w:rPr>
      </w:pPr>
      <w:r>
        <w:rPr>
          <w:rStyle w:val="DefaultParagraphFont"/>
          <w:bdr w:val="nil"/>
          <w:rtl w:val="0"/>
        </w:rPr>
        <w:t>Pedagogové se pravidelně účastní seminářů, využívají odborných knih a časopisů k sebevzdělávání a aktivně se zajímají o novinky v předškolním vzdělávání. Nově pedagogové budou využívat odborné webináře. </w:t>
      </w:r>
    </w:p>
    <w:p>
      <w:pPr>
        <w:bidi w:val="0"/>
        <w:spacing w:before="240" w:after="240"/>
        <w:rPr>
          <w:rStyle w:val="DefaultParagraphFont"/>
        </w:rPr>
      </w:pPr>
      <w:r>
        <w:rPr>
          <w:rStyle w:val="DefaultParagraphFont"/>
          <w:bdr w:val="nil"/>
          <w:rtl w:val="0"/>
        </w:rPr>
        <w:t>Paní ředitelka podporuje profesionalizaci pracovního týmu,sleduje udržení a růst profesních kompetencí všech pedagogů a vytváří podmínky pro jejich další vzdělávání. </w:t>
      </w:r>
    </w:p>
    <w:p>
      <w:pPr>
        <w:bidi w:val="0"/>
        <w:spacing w:before="240" w:after="240"/>
        <w:rPr>
          <w:rStyle w:val="DefaultParagraphFont"/>
        </w:rPr>
      </w:pPr>
      <w:r>
        <w:rPr>
          <w:rStyle w:val="DefaultParagraphFont"/>
          <w:bdr w:val="nil"/>
          <w:rtl w:val="0"/>
        </w:rPr>
        <w:t>Služby pedagogů jsou organizovány tak, aby byla vždy zajištěna bezpečnost dětí a péče o ně. </w:t>
      </w:r>
    </w:p>
    <w:p>
      <w:pPr>
        <w:bidi w:val="0"/>
        <w:spacing w:before="240" w:after="240"/>
        <w:rPr>
          <w:rStyle w:val="DefaultParagraphFont"/>
        </w:rPr>
      </w:pPr>
      <w:r>
        <w:rPr>
          <w:rStyle w:val="DefaultParagraphFont"/>
          <w:bdr w:val="nil"/>
          <w:rtl w:val="0"/>
        </w:rPr>
        <w:t>V MŠ pracují 4 učitelky a 2 asistenti pedagoga. </w:t>
      </w:r>
    </w:p>
    <w:p>
      <w:pPr>
        <w:bidi w:val="0"/>
        <w:spacing w:before="240" w:after="240"/>
        <w:rPr>
          <w:rStyle w:val="DefaultParagraphFont"/>
        </w:rPr>
      </w:pPr>
      <w:r>
        <w:rPr>
          <w:rStyle w:val="DefaultParagraphFont"/>
          <w:bdr w:val="nil"/>
          <w:rtl w:val="0"/>
        </w:rPr>
        <w:t>Zaměstnanci jednají a chovají se profesionální způsobem, dodržuje etický kodex a profesionální vystupování na veřejnosti. </w:t>
      </w:r>
    </w:p>
    <w:p>
      <w:pPr>
        <w:bidi w:val="0"/>
        <w:spacing w:before="240" w:after="240"/>
        <w:rPr>
          <w:rStyle w:val="DefaultParagraphFont"/>
        </w:rPr>
      </w:pPr>
      <w:r>
        <w:rPr>
          <w:rStyle w:val="DefaultParagraphFont"/>
          <w:bdr w:val="nil"/>
          <w:rtl w:val="0"/>
        </w:rPr>
        <w:t>Speciální péči v oblasti logopedie zajišťují příslušní specializovaní pracovníci logopedie v Rokycanech, Plzni, spolupracujeme s pedagogicko-psychologickou poradnou v Rokycanech. </w:t>
      </w:r>
    </w:p>
    <w:p>
      <w:pPr>
        <w:bidi w:val="0"/>
        <w:rPr>
          <w:rStyle w:val="DefaultParagraphFont"/>
        </w:rPr>
      </w:pPr>
    </w:p>
    <w:p>
      <w:pPr>
        <w:pStyle w:val="Heading2"/>
        <w:bidi w:val="0"/>
        <w:spacing w:before="299" w:after="299"/>
        <w:rPr>
          <w:rStyle w:val="DefaultParagraphFont"/>
        </w:rPr>
      </w:pPr>
      <w:bookmarkStart w:id="17" w:name="_Toc256000017"/>
      <w:r>
        <w:rPr>
          <w:rStyle w:val="DefaultParagraphFont"/>
          <w:b/>
          <w:bCs/>
          <w:sz w:val="36"/>
          <w:szCs w:val="36"/>
          <w:bdr w:val="nil"/>
          <w:rtl w:val="0"/>
        </w:rPr>
        <w:t>Spoluúčast rodičů</w:t>
      </w:r>
      <w:bookmarkEnd w:id="17"/>
      <w:r>
        <w:rPr>
          <w:rStyle w:val="DefaultParagraphFont"/>
          <w:b/>
          <w:bCs/>
          <w:sz w:val="36"/>
          <w:szCs w:val="36"/>
          <w:bdr w:val="nil"/>
          <w:rtl w:val="0"/>
        </w:rPr>
        <w:t> </w:t>
      </w:r>
    </w:p>
    <w:p>
      <w:pPr>
        <w:bidi w:val="0"/>
        <w:spacing w:before="240" w:after="240"/>
        <w:rPr>
          <w:rStyle w:val="DefaultParagraphFont"/>
        </w:rPr>
      </w:pPr>
      <w:r>
        <w:rPr>
          <w:rStyle w:val="DefaultParagraphFont"/>
          <w:bdr w:val="nil"/>
          <w:rtl w:val="0"/>
        </w:rPr>
        <w:t>Spolupráce s rodiči v jednotném působení na dítě je naší prioritou. Ve vztazích mezi zaměstnanci a rodiči se snažíme o vzájemnou důvěru a pochopení. </w:t>
      </w:r>
    </w:p>
    <w:p>
      <w:pPr>
        <w:bidi w:val="0"/>
        <w:spacing w:before="240" w:after="240"/>
        <w:rPr>
          <w:rStyle w:val="DefaultParagraphFont"/>
        </w:rPr>
      </w:pPr>
      <w:r>
        <w:rPr>
          <w:rStyle w:val="DefaultParagraphFont"/>
          <w:bdr w:val="nil"/>
          <w:rtl w:val="0"/>
        </w:rPr>
        <w:t>Respektujeme individuální potřeby dětí, rodiče mají možnost individuální konzultace v soukromí. </w:t>
      </w:r>
    </w:p>
    <w:p>
      <w:pPr>
        <w:bidi w:val="0"/>
        <w:spacing w:before="240" w:after="240"/>
        <w:rPr>
          <w:rStyle w:val="DefaultParagraphFont"/>
        </w:rPr>
      </w:pPr>
      <w:r>
        <w:rPr>
          <w:rStyle w:val="DefaultParagraphFont"/>
          <w:bdr w:val="nil"/>
          <w:rtl w:val="0"/>
        </w:rPr>
        <w:t>Rodiče mají možnost se zapojit do dění v MŠ, jsou pravidelně informování o všech akcích školy, mohou vidět práce svých dětí. </w:t>
      </w:r>
    </w:p>
    <w:p>
      <w:pPr>
        <w:bidi w:val="0"/>
        <w:spacing w:before="240" w:after="240"/>
        <w:rPr>
          <w:rStyle w:val="DefaultParagraphFont"/>
        </w:rPr>
      </w:pPr>
      <w:r>
        <w:rPr>
          <w:rStyle w:val="DefaultParagraphFont"/>
          <w:bdr w:val="nil"/>
          <w:rtl w:val="0"/>
        </w:rPr>
        <w:t>Umožňujeme individuální schůzky v soukromí, kde informujeme o prospívání jejich dítěte a o případných problémech. </w:t>
      </w:r>
    </w:p>
    <w:p>
      <w:pPr>
        <w:bidi w:val="0"/>
        <w:spacing w:before="240" w:after="240"/>
        <w:rPr>
          <w:rStyle w:val="DefaultParagraphFont"/>
        </w:rPr>
      </w:pPr>
      <w:r>
        <w:rPr>
          <w:rStyle w:val="DefaultParagraphFont"/>
          <w:bdr w:val="nil"/>
          <w:rtl w:val="0"/>
        </w:rPr>
        <w:t>Veškeré písemnosti a informace o dítěti jsou důvěrné, s rodiči jednáme s ohleduplností a taktem. </w:t>
      </w:r>
    </w:p>
    <w:p>
      <w:pPr>
        <w:bidi w:val="0"/>
        <w:spacing w:before="240" w:after="240"/>
        <w:rPr>
          <w:rStyle w:val="DefaultParagraphFont"/>
        </w:rPr>
      </w:pPr>
      <w:r>
        <w:rPr>
          <w:rStyle w:val="DefaultParagraphFont"/>
          <w:bdr w:val="nil"/>
          <w:rtl w:val="0"/>
        </w:rPr>
        <w:t>S rodiči pravidelně konzultujeme pokroky či případné neúspěchy dítěte. V případě potřeby zajišťujeme kontakt s PPP v Rokycanech. </w:t>
      </w:r>
    </w:p>
    <w:p>
      <w:pPr>
        <w:bidi w:val="0"/>
        <w:rPr>
          <w:rStyle w:val="DefaultParagraphFont"/>
        </w:rPr>
      </w:pPr>
    </w:p>
    <w:p>
      <w:pPr>
        <w:pStyle w:val="Heading2"/>
        <w:bidi w:val="0"/>
        <w:spacing w:before="299" w:after="299"/>
        <w:rPr>
          <w:rStyle w:val="DefaultParagraphFont"/>
        </w:rPr>
      </w:pPr>
      <w:bookmarkStart w:id="18" w:name="_Toc256000018"/>
      <w:r>
        <w:rPr>
          <w:rStyle w:val="DefaultParagraphFont"/>
          <w:b/>
          <w:bCs/>
          <w:sz w:val="36"/>
          <w:szCs w:val="36"/>
          <w:bdr w:val="nil"/>
          <w:rtl w:val="0"/>
        </w:rPr>
        <w:t>Podmínky pro vzdělávání dětí se speciálními vzdělávacími potřebami</w:t>
      </w:r>
      <w:bookmarkEnd w:id="18"/>
      <w:r>
        <w:rPr>
          <w:rStyle w:val="DefaultParagraphFont"/>
          <w:b/>
          <w:bCs/>
          <w:sz w:val="36"/>
          <w:szCs w:val="36"/>
          <w:bdr w:val="nil"/>
          <w:rtl w:val="0"/>
        </w:rPr>
        <w:t> </w:t>
      </w:r>
    </w:p>
    <w:p>
      <w:pPr>
        <w:bidi w:val="0"/>
        <w:spacing w:before="240" w:after="240"/>
        <w:rPr>
          <w:rStyle w:val="DefaultParagraphFont"/>
        </w:rPr>
      </w:pPr>
      <w:r>
        <w:rPr>
          <w:rStyle w:val="DefaultParagraphFont"/>
          <w:bdr w:val="nil"/>
          <w:rtl w:val="0"/>
        </w:rPr>
        <w:t>Prostředí MŠ je maximálně bezpečné pro děti, veškeré vybavení MŠ je z hlediska bezpečnosti nezávadné, pro dítě s SVP připravujeme individuální vzdělávací program. </w:t>
      </w:r>
    </w:p>
    <w:p>
      <w:pPr>
        <w:bidi w:val="0"/>
        <w:spacing w:before="240" w:after="240"/>
        <w:rPr>
          <w:rStyle w:val="DefaultParagraphFont"/>
        </w:rPr>
      </w:pPr>
      <w:r>
        <w:rPr>
          <w:rStyle w:val="DefaultParagraphFont"/>
          <w:bdr w:val="nil"/>
          <w:rtl w:val="0"/>
        </w:rPr>
        <w:t>MŠ disponuje  mnoha kompenzačními pomůckami a je bezbariérová. </w:t>
      </w:r>
    </w:p>
    <w:p>
      <w:pPr>
        <w:bidi w:val="0"/>
        <w:spacing w:before="240" w:after="240"/>
        <w:rPr>
          <w:rStyle w:val="DefaultParagraphFont"/>
        </w:rPr>
      </w:pPr>
      <w:r>
        <w:rPr>
          <w:rStyle w:val="DefaultParagraphFont"/>
          <w:bdr w:val="nil"/>
          <w:rtl w:val="0"/>
        </w:rPr>
        <w:t>Při zajištění péče o děti nám pomáhají 2 asistenti pedagoga, logopedická péče je zajištěna individuálně rodiči mimo MŠ. </w:t>
      </w:r>
    </w:p>
    <w:p>
      <w:pPr>
        <w:bidi w:val="0"/>
        <w:spacing w:before="240" w:after="240"/>
        <w:rPr>
          <w:rStyle w:val="DefaultParagraphFont"/>
        </w:rPr>
      </w:pPr>
      <w:r>
        <w:rPr>
          <w:rStyle w:val="DefaultParagraphFont"/>
          <w:bdr w:val="nil"/>
          <w:rtl w:val="0"/>
        </w:rPr>
        <w:t>MŠ úzce spolupracuje s PPP v Rokycanech a SPC Plzeň. </w:t>
      </w:r>
    </w:p>
    <w:p>
      <w:pPr>
        <w:bidi w:val="0"/>
        <w:spacing w:before="240" w:after="240"/>
        <w:rPr>
          <w:rStyle w:val="DefaultParagraphFont"/>
        </w:rPr>
      </w:pPr>
      <w:r>
        <w:rPr>
          <w:rStyle w:val="DefaultParagraphFont"/>
          <w:bdr w:val="nil"/>
          <w:rtl w:val="0"/>
        </w:rPr>
        <w:t>Počet dětí ve skupinách vychází z požadavků z RVP - PV. </w:t>
      </w:r>
    </w:p>
    <w:p>
      <w:pPr>
        <w:bidi w:val="0"/>
        <w:spacing w:before="240" w:after="240"/>
        <w:rPr>
          <w:rStyle w:val="DefaultParagraphFont"/>
        </w:rPr>
      </w:pPr>
      <w:r>
        <w:rPr>
          <w:rStyle w:val="DefaultParagraphFont"/>
          <w:bdr w:val="nil"/>
          <w:rtl w:val="0"/>
        </w:rPr>
        <w:t>V MŠ v tomto školním roce pracují dva asistenti pedagoga, jejich práce je pro nás přínosem. </w:t>
      </w:r>
    </w:p>
    <w:p>
      <w:pPr>
        <w:bidi w:val="0"/>
        <w:spacing w:before="240" w:after="240"/>
        <w:rPr>
          <w:rStyle w:val="DefaultParagraphFont"/>
        </w:rPr>
      </w:pPr>
      <w:r>
        <w:rPr>
          <w:rStyle w:val="DefaultParagraphFont"/>
          <w:bdr w:val="nil"/>
          <w:rtl w:val="0"/>
        </w:rPr>
        <w:t>Děti se mohou samostatně projevit a vyslovit svůj názor. Ke všem dětem přistupujem rovnocenně, našim záměrem je umožnit dětem dostatečnou volnost, ale zároveň dodržovat dohodnutá pravidla společného soužití. </w:t>
      </w:r>
    </w:p>
    <w:p>
      <w:pPr>
        <w:bidi w:val="0"/>
        <w:spacing w:before="240" w:after="240"/>
        <w:rPr>
          <w:rStyle w:val="DefaultParagraphFont"/>
        </w:rPr>
      </w:pPr>
      <w:r>
        <w:rPr>
          <w:rStyle w:val="DefaultParagraphFont"/>
          <w:bdr w:val="nil"/>
          <w:rtl w:val="0"/>
        </w:rPr>
        <w:t>Doplňování vhodných pomůcek pro děti s SVP. </w:t>
      </w:r>
    </w:p>
    <w:p>
      <w:pPr>
        <w:pStyle w:val="Heading2"/>
        <w:bidi w:val="0"/>
        <w:spacing w:before="299" w:after="299"/>
        <w:rPr>
          <w:rStyle w:val="DefaultParagraphFont"/>
        </w:rPr>
      </w:pPr>
      <w:bookmarkStart w:id="19" w:name="_Toc256000019"/>
      <w:r>
        <w:rPr>
          <w:rStyle w:val="DefaultParagraphFont"/>
          <w:b/>
          <w:bCs/>
          <w:sz w:val="36"/>
          <w:szCs w:val="36"/>
          <w:bdr w:val="nil"/>
          <w:rtl w:val="0"/>
        </w:rPr>
        <w:t>Podmínky vzdělávání dětí nadaných</w:t>
      </w:r>
      <w:bookmarkEnd w:id="19"/>
      <w:r>
        <w:rPr>
          <w:rStyle w:val="DefaultParagraphFont"/>
          <w:b/>
          <w:bCs/>
          <w:sz w:val="36"/>
          <w:szCs w:val="36"/>
          <w:bdr w:val="nil"/>
          <w:rtl w:val="0"/>
        </w:rPr>
        <w:t> </w:t>
      </w:r>
    </w:p>
    <w:p>
      <w:pPr>
        <w:bidi w:val="0"/>
        <w:spacing w:before="240" w:after="240"/>
        <w:rPr>
          <w:rStyle w:val="DefaultParagraphFont"/>
        </w:rPr>
      </w:pPr>
      <w:r>
        <w:rPr>
          <w:rStyle w:val="DefaultParagraphFont"/>
          <w:bdr w:val="nil"/>
          <w:rtl w:val="0"/>
        </w:rPr>
        <w:t>MŠ se bude snažit vytvářet ve svém ŠVP a při jeho realizaci podmínky k co největšímu využití potenciálu každého dítěte s ohledem na jeho individuální možnosti. </w:t>
      </w:r>
    </w:p>
    <w:p>
      <w:pPr>
        <w:bidi w:val="0"/>
        <w:spacing w:before="240" w:after="240"/>
        <w:rPr>
          <w:rStyle w:val="DefaultParagraphFont"/>
        </w:rPr>
      </w:pPr>
      <w:r>
        <w:rPr>
          <w:rStyle w:val="DefaultParagraphFont"/>
          <w:bdr w:val="nil"/>
          <w:rtl w:val="0"/>
        </w:rPr>
        <w:t>MŠ disponuje dostatečným množstvím didaktických pomůcek a materiálů pro rozvíjení kognitivních schopností dětí. </w:t>
      </w:r>
    </w:p>
    <w:p>
      <w:pPr>
        <w:bidi w:val="0"/>
        <w:spacing w:before="240" w:after="240"/>
        <w:rPr>
          <w:rStyle w:val="DefaultParagraphFont"/>
        </w:rPr>
      </w:pPr>
      <w:r>
        <w:rPr>
          <w:rStyle w:val="DefaultParagraphFont"/>
          <w:bdr w:val="nil"/>
          <w:rtl w:val="0"/>
        </w:rPr>
        <w:t>Děti nadané mají rozšířenou možnost činností ke prohlubování jejich mimořádných schopností. </w:t>
      </w:r>
    </w:p>
    <w:p>
      <w:pPr>
        <w:bidi w:val="0"/>
        <w:spacing w:before="240" w:after="240"/>
        <w:rPr>
          <w:rStyle w:val="DefaultParagraphFont"/>
        </w:rPr>
      </w:pPr>
      <w:r>
        <w:rPr>
          <w:rStyle w:val="DefaultParagraphFont"/>
          <w:bdr w:val="nil"/>
          <w:rtl w:val="0"/>
        </w:rPr>
        <w:t>Nadané děti mohou pracovat samostatně při řešení náročnějších úkolů. </w:t>
      </w:r>
    </w:p>
    <w:p>
      <w:pPr>
        <w:bidi w:val="0"/>
        <w:spacing w:before="240" w:after="240"/>
        <w:rPr>
          <w:rStyle w:val="DefaultParagraphFont"/>
        </w:rPr>
      </w:pPr>
      <w:r>
        <w:rPr>
          <w:rStyle w:val="DefaultParagraphFont"/>
          <w:bdr w:val="nil"/>
          <w:rtl w:val="0"/>
        </w:rPr>
        <w:t>Pedagogové si prohlubují znalosti a dovednosti související se vzděláváním nadaných dětí. Podporují zvídavost dítěte, povzbuzují ke kladení otázek, podporují hledání vlastních cest a způsobů řešení, tvořivost, kombinační schopnosti a originalitu. </w:t>
      </w:r>
    </w:p>
    <w:p>
      <w:pPr>
        <w:bidi w:val="0"/>
        <w:spacing w:before="240" w:after="240"/>
        <w:rPr>
          <w:rStyle w:val="DefaultParagraphFont"/>
        </w:rPr>
      </w:pPr>
      <w:r>
        <w:rPr>
          <w:rStyle w:val="DefaultParagraphFont"/>
          <w:bdr w:val="nil"/>
          <w:rtl w:val="0"/>
        </w:rPr>
        <w:t>Při péči o nadané děti spolupracujeme s rodiči a využíváme dostupného metodického materiálu. Spolupracujeme také s PPP v Rokycanech. </w:t>
      </w:r>
    </w:p>
    <w:p>
      <w:pPr>
        <w:bidi w:val="0"/>
        <w:spacing w:before="240" w:after="240"/>
        <w:rPr>
          <w:rStyle w:val="DefaultParagraphFont"/>
        </w:rPr>
      </w:pPr>
      <w:r>
        <w:rPr>
          <w:rStyle w:val="DefaultParagraphFont"/>
          <w:bdr w:val="nil"/>
          <w:rtl w:val="0"/>
        </w:rPr>
        <w:t>Účast pedagogů na seminářích zaměřených pro práci s nadanými dětmi. Nákup dalších pomůcek pro rozvoj schopností a poznatků dětí. </w:t>
      </w:r>
    </w:p>
    <w:p>
      <w:pPr>
        <w:pStyle w:val="Heading2"/>
        <w:bidi w:val="0"/>
        <w:spacing w:before="299" w:after="299"/>
        <w:rPr>
          <w:rStyle w:val="DefaultParagraphFont"/>
        </w:rPr>
      </w:pPr>
      <w:bookmarkStart w:id="20" w:name="_Toc256000020"/>
      <w:r>
        <w:rPr>
          <w:rStyle w:val="DefaultParagraphFont"/>
          <w:b/>
          <w:bCs/>
          <w:sz w:val="36"/>
          <w:szCs w:val="36"/>
          <w:bdr w:val="nil"/>
          <w:rtl w:val="0"/>
        </w:rPr>
        <w:t>Podmínky vzdělávání dětí od dvou do tří let</w:t>
      </w:r>
      <w:bookmarkEnd w:id="20"/>
      <w:r>
        <w:rPr>
          <w:rStyle w:val="DefaultParagraphFont"/>
          <w:b/>
          <w:bCs/>
          <w:sz w:val="36"/>
          <w:szCs w:val="36"/>
          <w:bdr w:val="nil"/>
          <w:rtl w:val="0"/>
        </w:rPr>
        <w:t> </w:t>
      </w:r>
    </w:p>
    <w:p>
      <w:pPr>
        <w:bidi w:val="0"/>
        <w:spacing w:before="240" w:after="240"/>
        <w:rPr>
          <w:rStyle w:val="DefaultParagraphFont"/>
        </w:rPr>
      </w:pPr>
      <w:r>
        <w:rPr>
          <w:rStyle w:val="DefaultParagraphFont"/>
          <w:bdr w:val="nil"/>
          <w:rtl w:val="0"/>
        </w:rPr>
        <w:t>Mateřská škola není vybavena dostatečným množstvím podnětných a bezpečných hraček a pomůcek vhodných pro dvouleté děti. </w:t>
      </w:r>
    </w:p>
    <w:p>
      <w:pPr>
        <w:bidi w:val="0"/>
        <w:spacing w:before="240" w:after="240"/>
        <w:rPr>
          <w:rStyle w:val="DefaultParagraphFont"/>
        </w:rPr>
      </w:pPr>
      <w:r>
        <w:rPr>
          <w:rStyle w:val="DefaultParagraphFont"/>
          <w:bdr w:val="nil"/>
          <w:rtl w:val="0"/>
        </w:rPr>
        <w:t>Mateřská škola není vybavena dostatečným množstvím podnětných a bezpečných hraček a pomůcek vhodných pro dvouleté děti. </w:t>
      </w:r>
    </w:p>
    <w:p>
      <w:pPr>
        <w:bidi w:val="0"/>
        <w:spacing w:before="240" w:after="240"/>
        <w:rPr>
          <w:rStyle w:val="DefaultParagraphFont"/>
        </w:rPr>
      </w:pPr>
      <w:r>
        <w:rPr>
          <w:rStyle w:val="DefaultParagraphFont"/>
          <w:bdr w:val="nil"/>
          <w:rtl w:val="0"/>
        </w:rPr>
        <w:t>Prostředí není upraveno tak, aby poskytovalo dostatečný prostor pro volný pohyb a hru dětí, umožňovalo variabilitu v uspořádání prostoru a zabezpečovalo možnost naplnění potřeby průběžného odpočinku </w:t>
      </w:r>
    </w:p>
    <w:p>
      <w:pPr>
        <w:bidi w:val="0"/>
        <w:spacing w:before="240" w:after="240"/>
        <w:rPr>
          <w:rStyle w:val="DefaultParagraphFont"/>
        </w:rPr>
      </w:pPr>
      <w:r>
        <w:rPr>
          <w:rStyle w:val="DefaultParagraphFont"/>
          <w:bdr w:val="nil"/>
          <w:rtl w:val="0"/>
        </w:rPr>
        <w:t>Mateřská škola není vybavena dostatečným zázemím pro zajištění hygieny dítěte. </w:t>
      </w:r>
    </w:p>
    <w:p>
      <w:pPr>
        <w:bidi w:val="0"/>
        <w:spacing w:before="240" w:after="240"/>
        <w:rPr>
          <w:rStyle w:val="DefaultParagraphFont"/>
        </w:rPr>
      </w:pPr>
      <w:r>
        <w:rPr>
          <w:rStyle w:val="DefaultParagraphFont"/>
          <w:bdr w:val="nil"/>
          <w:rtl w:val="0"/>
        </w:rPr>
        <w:t>Šatna není vybavena dostatečně velkým úložným prostorem na náhradní oblečení a hygienické potřeby. </w:t>
      </w:r>
    </w:p>
    <w:p>
      <w:pPr>
        <w:bidi w:val="0"/>
        <w:spacing w:before="240" w:after="240"/>
        <w:rPr>
          <w:rStyle w:val="DefaultParagraphFont"/>
        </w:rPr>
      </w:pPr>
      <w:r>
        <w:rPr>
          <w:rStyle w:val="DefaultParagraphFont"/>
          <w:bdr w:val="nil"/>
          <w:rtl w:val="0"/>
        </w:rPr>
        <w:t> Není zajištěn vyhovující režim dne, který respektuje potřeby dětí. </w:t>
      </w:r>
    </w:p>
    <w:p>
      <w:pPr>
        <w:bidi w:val="0"/>
        <w:spacing w:before="240" w:after="240"/>
        <w:rPr>
          <w:rStyle w:val="DefaultParagraphFont"/>
        </w:rPr>
      </w:pPr>
      <w:r>
        <w:rPr>
          <w:rStyle w:val="DefaultParagraphFont"/>
          <w:bdr w:val="nil"/>
          <w:rtl w:val="0"/>
        </w:rPr>
        <w:t>Pro dvouleté děti nemáme dostatečný prostor ani personální zabezpečení. Pokud by nastala situace přijmout dítě od dvou do tří let věku, je MŠ ochotna přizpůsobit materiální i personální podmínky.</w:t>
      </w:r>
    </w:p>
    <w:p>
      <w:pPr>
        <w:pStyle w:val="Heading1"/>
        <w:bidi w:val="0"/>
        <w:spacing w:before="322" w:after="322"/>
        <w:rPr>
          <w:rStyle w:val="DefaultParagraphFont"/>
        </w:rPr>
        <w:sectPr>
          <w:type w:val="nextColumn"/>
          <w:pgSz w:w="11906" w:h="16838"/>
          <w:pgMar w:top="1440" w:right="1325" w:bottom="1440" w:left="1800" w:header="720" w:footer="720"/>
          <w:cols w:space="720"/>
        </w:sectPr>
      </w:pPr>
    </w:p>
    <w:p>
      <w:pPr>
        <w:pStyle w:val="Heading1"/>
        <w:bidi w:val="0"/>
        <w:spacing w:before="322" w:after="322"/>
        <w:rPr>
          <w:rStyle w:val="DefaultParagraphFont"/>
          <w:b/>
          <w:bCs/>
          <w:sz w:val="48"/>
          <w:szCs w:val="48"/>
          <w:bdr w:val="nil"/>
          <w:rtl w:val="0"/>
        </w:rPr>
      </w:pPr>
      <w:bookmarkStart w:id="21" w:name="_Toc256000022"/>
      <w:r>
        <w:rPr>
          <w:rStyle w:val="DefaultParagraphFont"/>
          <w:b/>
          <w:bCs/>
          <w:sz w:val="48"/>
          <w:szCs w:val="48"/>
          <w:bdr w:val="nil"/>
          <w:rtl w:val="0"/>
        </w:rPr>
        <w:t>Organizace vzdělávání</w:t>
      </w:r>
      <w:bookmarkEnd w:id="21"/>
      <w:r>
        <w:rPr>
          <w:rStyle w:val="DefaultParagraphFont"/>
          <w:b/>
          <w:bCs/>
          <w:sz w:val="48"/>
          <w:szCs w:val="48"/>
          <w:bdr w:val="nil"/>
          <w:rtl w:val="0"/>
        </w:rPr>
        <w:t> </w:t>
      </w:r>
    </w:p>
    <w:p>
      <w:pPr>
        <w:bidi w:val="0"/>
        <w:rPr>
          <w:rStyle w:val="DefaultParagraphFont"/>
        </w:rPr>
      </w:pPr>
      <w:r>
        <w:rPr>
          <w:rStyle w:val="DefaultParagraphFont"/>
        </w:rPr>
        <w:cr/>
      </w:r>
      <w:r>
        <w:rPr>
          <w:rStyle w:val="DefaultParagraphFont"/>
          <w:b/>
          <w:bCs/>
          <w:bdr w:val="nil"/>
          <w:rtl w:val="0"/>
        </w:rPr>
        <w:t>Druh provozu školy: </w:t>
      </w:r>
      <w:r>
        <w:rPr>
          <w:rStyle w:val="DefaultParagraphFont"/>
          <w:bdr w:val="nil"/>
          <w:rtl w:val="0"/>
        </w:rPr>
        <w:t xml:space="preserve"> Celodenní </w:t>
      </w:r>
      <w:r>
        <w:rPr>
          <w:rStyle w:val="DefaultParagraphFont"/>
          <w:bdr w:val="nil"/>
          <w:rtl w:val="0"/>
        </w:rPr>
        <w:cr/>
      </w:r>
      <w:r>
        <w:rPr>
          <w:rStyle w:val="DefaultParagraphFont"/>
          <w:bdr w:val="nil"/>
          <w:rtl w:val="0"/>
        </w:rPr>
        <w:cr/>
      </w:r>
      <w:r>
        <w:rPr>
          <w:rStyle w:val="DefaultParagraphFont"/>
          <w:b/>
          <w:bCs/>
          <w:bdr w:val="nil"/>
          <w:rtl w:val="0"/>
        </w:rPr>
        <w:t>Počet tříd včetně bližší charakteristiky:  </w:t>
      </w:r>
    </w:p>
    <w:p>
      <w:pPr>
        <w:bidi w:val="0"/>
        <w:spacing w:before="240" w:after="240"/>
        <w:rPr>
          <w:rStyle w:val="DefaultParagraphFont"/>
          <w:bdr w:val="nil"/>
          <w:rtl w:val="0"/>
        </w:rPr>
      </w:pPr>
      <w:r>
        <w:rPr>
          <w:rStyle w:val="DefaultParagraphFont"/>
          <w:bdr w:val="nil"/>
          <w:rtl w:val="0"/>
        </w:rPr>
        <w:t>MŠ má dvě třídy pro děti od tří do šesti let, jsou rozděleny dle věku dětí, ve školce jsou integrovány též děti s SVP a s odkladem školní docházky. </w:t>
      </w:r>
    </w:p>
    <w:p>
      <w:pPr>
        <w:bidi w:val="0"/>
        <w:rPr>
          <w:rStyle w:val="DefaultParagraphFont"/>
          <w:bdr w:val="nil"/>
          <w:rtl w:val="0"/>
        </w:rPr>
      </w:pPr>
      <w:r>
        <w:rPr>
          <w:rStyle w:val="DefaultParagraphFont"/>
          <w:bdr w:val="nil"/>
          <w:rtl w:val="0"/>
        </w:rPr>
        <w:cr/>
      </w:r>
      <w:r>
        <w:rPr>
          <w:rStyle w:val="DefaultParagraphFont"/>
          <w:b/>
          <w:bCs/>
          <w:bdr w:val="nil"/>
          <w:rtl w:val="0"/>
        </w:rPr>
        <w:t>Pravidla pro zařazování do jednotlivých tříd:  </w:t>
      </w:r>
    </w:p>
    <w:p>
      <w:pPr>
        <w:bidi w:val="0"/>
        <w:spacing w:before="240" w:after="240"/>
        <w:rPr>
          <w:rStyle w:val="DefaultParagraphFont"/>
          <w:bdr w:val="nil"/>
          <w:rtl w:val="0"/>
        </w:rPr>
      </w:pPr>
      <w:r>
        <w:rPr>
          <w:rStyle w:val="DefaultParagraphFont"/>
          <w:bdr w:val="nil"/>
          <w:rtl w:val="0"/>
        </w:rPr>
        <w:t>Děti jsou rozděleny do dvou tříd dle věku (na mladší a starší), obě třídy jsou heterogenní. </w:t>
      </w:r>
    </w:p>
    <w:p>
      <w:pPr>
        <w:bidi w:val="0"/>
        <w:rPr>
          <w:rStyle w:val="DefaultParagraphFont"/>
          <w:bdr w:val="nil"/>
          <w:rtl w:val="0"/>
        </w:rPr>
      </w:pPr>
      <w:r>
        <w:rPr>
          <w:rStyle w:val="DefaultParagraphFont"/>
          <w:bdr w:val="nil"/>
          <w:rtl w:val="0"/>
        </w:rPr>
        <w:cr/>
      </w:r>
      <w:r>
        <w:rPr>
          <w:rStyle w:val="DefaultParagraphFont"/>
          <w:b/>
          <w:bCs/>
          <w:bdr w:val="nil"/>
          <w:rtl w:val="0"/>
        </w:rPr>
        <w:t>Činnosti se souběžným působením dvou učitelů ve třídě:  </w:t>
      </w:r>
    </w:p>
    <w:p>
      <w:pPr>
        <w:bidi w:val="0"/>
        <w:spacing w:before="240" w:after="240"/>
        <w:rPr>
          <w:rStyle w:val="DefaultParagraphFont"/>
          <w:bdr w:val="nil"/>
          <w:rtl w:val="0"/>
        </w:rPr>
      </w:pPr>
      <w:r>
        <w:rPr>
          <w:rStyle w:val="DefaultParagraphFont"/>
          <w:bdr w:val="nil"/>
          <w:rtl w:val="0"/>
        </w:rPr>
        <w:t>Při pobytu venku jsou přítomny obě učitelky. </w:t>
      </w:r>
    </w:p>
    <w:p>
      <w:pPr>
        <w:bidi w:val="0"/>
        <w:rPr>
          <w:rStyle w:val="DefaultParagraphFont"/>
          <w:bdr w:val="nil"/>
          <w:rtl w:val="0"/>
        </w:rPr>
      </w:pPr>
      <w:r>
        <w:rPr>
          <w:rStyle w:val="DefaultParagraphFont"/>
          <w:bdr w:val="nil"/>
          <w:rtl w:val="0"/>
        </w:rPr>
        <w:cr/>
      </w:r>
      <w:r>
        <w:rPr>
          <w:rStyle w:val="DefaultParagraphFont"/>
          <w:b/>
          <w:bCs/>
          <w:bdr w:val="nil"/>
          <w:rtl w:val="0"/>
        </w:rPr>
        <w:t>Kritéria pro přijímání dětí do mateřské školy:  </w:t>
      </w:r>
    </w:p>
    <w:p>
      <w:pPr>
        <w:bidi w:val="0"/>
        <w:spacing w:before="240" w:after="240"/>
        <w:rPr>
          <w:rStyle w:val="DefaultParagraphFont"/>
          <w:bdr w:val="nil"/>
          <w:rtl w:val="0"/>
        </w:rPr>
      </w:pPr>
      <w:r>
        <w:rPr>
          <w:rStyle w:val="DefaultParagraphFont"/>
          <w:bdr w:val="nil"/>
          <w:rtl w:val="0"/>
        </w:rPr>
        <w:t>Do MŠ jsou přijímány děti od tří let, v případě volného místa děti, které dovrší 3 let věku v průběhu školního roku. Přednostně jsou přijímány děti s trvalým bydlištěm v obci, děti s povinnou předškolní docházkou a děti, které mají sourozence v MŠ nebo ZŠ Ejpovice. </w:t>
      </w:r>
    </w:p>
    <w:p>
      <w:pPr>
        <w:bidi w:val="0"/>
        <w:rPr>
          <w:rStyle w:val="DefaultParagraphFont"/>
          <w:bdr w:val="nil"/>
          <w:rtl w:val="0"/>
        </w:rPr>
      </w:pPr>
      <w:r>
        <w:rPr>
          <w:rStyle w:val="DefaultParagraphFont"/>
          <w:bdr w:val="nil"/>
          <w:rtl w:val="0"/>
        </w:rPr>
        <w:cr/>
      </w:r>
      <w:r>
        <w:rPr>
          <w:rStyle w:val="DefaultParagraphFont"/>
          <w:b/>
          <w:bCs/>
          <w:bdr w:val="nil"/>
          <w:rtl w:val="0"/>
        </w:rPr>
        <w:t>Popis pravidel organizace individuálního vzdělávání: </w:t>
      </w:r>
      <w:r>
        <w:rPr>
          <w:rStyle w:val="DefaultParagraphFont"/>
          <w:bdr w:val="nil"/>
          <w:rtl w:val="0"/>
        </w:rPr>
        <w:t xml:space="preserve">  </w:t>
      </w:r>
    </w:p>
    <w:p>
      <w:pPr>
        <w:bidi w:val="0"/>
        <w:spacing w:before="240" w:after="240"/>
        <w:rPr>
          <w:rStyle w:val="DefaultParagraphFont"/>
          <w:bdr w:val="nil"/>
          <w:rtl w:val="0"/>
        </w:rPr>
      </w:pPr>
      <w:r>
        <w:rPr>
          <w:rStyle w:val="DefaultParagraphFont"/>
          <w:bdr w:val="nil"/>
          <w:rtl w:val="0"/>
        </w:rPr>
        <w:t>Zákonný zástupce dítěte písemně oznámí mateřské škole, že chce své dítě vzdělávat individuálně a tím přebírá plnou odpovědnost za jeho vzdělávání. Pokud má individuální vzdělávání probíhat po převážnou část školního roku, oznamuje zákonný zástupce toto rozhodnutí škole tři měsíce před začátkem školního roku, tedy v období do konce měsíce května. Pro individuální vzdělávání na kratší období se může zákonný zástupce rozhodnout kdykoliv v průběhu školního roku. Individuální vzdělávání v tomto případě začíná dnem, který následuje po dni, kdy bylo oznámení o volbě individuálního vzdělávání doručeno mateřské škole. Oznámení lze učinit opakovaně, a to v případě, že oznámení bylo učiněno na kratší dobu a zákonný zástupce se rozhodne pro pokračování v individuálním vzdělávání. Odpovědnost za kvalitu vzdělávání dítěte, které plní povinné předškolní vzdělávání formou individuálního vzdělávání, má výhradně zákonný zástupce (kompletní příloha k individuálnímu vzdělávání přiložena ve Školním řádu MŠ. </w:t>
      </w:r>
    </w:p>
    <w:p>
      <w:pPr>
        <w:bidi w:val="0"/>
        <w:rPr>
          <w:rStyle w:val="DefaultParagraphFont"/>
          <w:bdr w:val="nil"/>
          <w:rtl w:val="0"/>
        </w:rPr>
      </w:pPr>
      <w:r>
        <w:rPr>
          <w:rStyle w:val="DefaultParagraphFont"/>
          <w:bdr w:val="nil"/>
          <w:rtl w:val="0"/>
        </w:rPr>
        <w:cr/>
      </w:r>
      <w:r>
        <w:rPr>
          <w:rStyle w:val="DefaultParagraphFont"/>
          <w:bdr w:val="nil"/>
          <w:rtl w:val="0"/>
        </w:rPr>
        <w:t xml:space="preserve">  </w:t>
      </w:r>
    </w:p>
    <w:p>
      <w:pPr>
        <w:pStyle w:val="Heading1"/>
        <w:bidi w:val="0"/>
        <w:spacing w:before="322" w:after="322"/>
        <w:rPr>
          <w:rStyle w:val="DefaultParagraphFont"/>
        </w:rPr>
        <w:sectPr>
          <w:type w:val="nextColumn"/>
          <w:pgSz w:w="11906" w:h="16838"/>
          <w:pgMar w:top="1440" w:right="1325" w:bottom="1440" w:left="1800" w:header="720" w:footer="720"/>
          <w:cols w:space="720"/>
        </w:sectPr>
      </w:pPr>
    </w:p>
    <w:p>
      <w:pPr>
        <w:pStyle w:val="Heading1"/>
        <w:bidi w:val="0"/>
        <w:spacing w:before="322" w:after="322"/>
        <w:rPr>
          <w:rStyle w:val="DefaultParagraphFont"/>
          <w:b/>
          <w:bCs/>
          <w:sz w:val="48"/>
          <w:szCs w:val="48"/>
          <w:bdr w:val="nil"/>
          <w:rtl w:val="0"/>
        </w:rPr>
      </w:pPr>
      <w:bookmarkStart w:id="22" w:name="_Toc256000024"/>
      <w:r>
        <w:rPr>
          <w:rStyle w:val="DefaultParagraphFont"/>
          <w:b/>
          <w:bCs/>
          <w:sz w:val="48"/>
          <w:szCs w:val="48"/>
          <w:bdr w:val="nil"/>
          <w:rtl w:val="0"/>
        </w:rPr>
        <w:t>Charakteristika vzdělávacího programu</w:t>
      </w:r>
      <w:bookmarkEnd w:id="22"/>
      <w:r>
        <w:rPr>
          <w:rStyle w:val="DefaultParagraphFont"/>
          <w:b/>
          <w:bCs/>
          <w:sz w:val="48"/>
          <w:szCs w:val="48"/>
          <w:bdr w:val="nil"/>
          <w:rtl w:val="0"/>
        </w:rPr>
        <w:t> </w:t>
      </w:r>
    </w:p>
    <w:p>
      <w:pPr>
        <w:pStyle w:val="Heading2"/>
        <w:bidi w:val="0"/>
        <w:spacing w:before="299" w:after="299"/>
        <w:rPr>
          <w:rStyle w:val="DefaultParagraphFont"/>
        </w:rPr>
      </w:pPr>
      <w:bookmarkStart w:id="23" w:name="_Toc256000025"/>
      <w:r>
        <w:rPr>
          <w:rStyle w:val="DefaultParagraphFont"/>
          <w:b/>
          <w:bCs/>
          <w:sz w:val="36"/>
          <w:szCs w:val="36"/>
          <w:bdr w:val="nil"/>
          <w:rtl w:val="0"/>
        </w:rPr>
        <w:t>Zaměření školy</w:t>
      </w:r>
      <w:bookmarkEnd w:id="23"/>
      <w:r>
        <w:rPr>
          <w:rStyle w:val="DefaultParagraphFont"/>
          <w:b/>
          <w:bCs/>
          <w:sz w:val="36"/>
          <w:szCs w:val="36"/>
          <w:bdr w:val="nil"/>
          <w:rtl w:val="0"/>
        </w:rPr>
        <w:t> </w:t>
      </w:r>
    </w:p>
    <w:p>
      <w:pPr>
        <w:bidi w:val="0"/>
        <w:spacing w:before="240" w:after="240"/>
        <w:rPr>
          <w:rStyle w:val="DefaultParagraphFont"/>
        </w:rPr>
      </w:pPr>
      <w:r>
        <w:rPr>
          <w:rStyle w:val="DefaultParagraphFont"/>
          <w:bdr w:val="nil"/>
          <w:rtl w:val="0"/>
        </w:rPr>
        <w:t>Program naší MŠ jsme nazvali "Hrajeme si spolu a poznáváme svět". Zaměřujeme se na to, aby děti v MŠ získávaly poznatky a vědomosti hrou, zábavnými nenásilnými činnostmi, které vycházejí z každodenního života a jsou pro děti zcela přirozené a rády se do nich zapojují. Snažime se o to, aby každé dítě v naší MŠ dosáhlo maximálního rozvoje po stránce fyzické i psychické i sociální. Rozvíjíme u dětí schopnosti a dovednosti, které budou důležité pro jejich další vývoj. Naším záměrem je, aby získávaly tyto dovednosti v prostředí plném radosti a vzájemné důvěry, kde je zajištěno uspokojování individuálních potřeb a zájmů. </w:t>
      </w:r>
    </w:p>
    <w:p>
      <w:pPr>
        <w:bidi w:val="0"/>
        <w:rPr>
          <w:rStyle w:val="DefaultParagraphFont"/>
        </w:rPr>
      </w:pPr>
    </w:p>
    <w:p>
      <w:pPr>
        <w:pStyle w:val="Heading2"/>
        <w:bidi w:val="0"/>
        <w:spacing w:before="299" w:after="299"/>
        <w:rPr>
          <w:rStyle w:val="DefaultParagraphFont"/>
        </w:rPr>
      </w:pPr>
      <w:bookmarkStart w:id="24" w:name="_Toc256000026"/>
      <w:r>
        <w:rPr>
          <w:rStyle w:val="DefaultParagraphFont"/>
          <w:b/>
          <w:bCs/>
          <w:sz w:val="36"/>
          <w:szCs w:val="36"/>
          <w:bdr w:val="nil"/>
          <w:rtl w:val="0"/>
        </w:rPr>
        <w:t>Dlouhodobé cíle vzdělávacího programu</w:t>
      </w:r>
      <w:bookmarkEnd w:id="24"/>
      <w:r>
        <w:rPr>
          <w:rStyle w:val="DefaultParagraphFont"/>
          <w:b/>
          <w:bCs/>
          <w:sz w:val="36"/>
          <w:szCs w:val="36"/>
          <w:bdr w:val="nil"/>
          <w:rtl w:val="0"/>
        </w:rPr>
        <w:t> </w:t>
      </w:r>
    </w:p>
    <w:p>
      <w:pPr>
        <w:bidi w:val="0"/>
        <w:spacing w:before="240" w:after="240"/>
        <w:rPr>
          <w:rStyle w:val="DefaultParagraphFont"/>
        </w:rPr>
      </w:pPr>
      <w:r>
        <w:rPr>
          <w:rStyle w:val="DefaultParagraphFont"/>
          <w:b/>
          <w:bCs/>
          <w:bdr w:val="nil"/>
          <w:rtl w:val="0"/>
        </w:rPr>
        <w:t>Rozvíjení dítěte a jeho schopnosti učení </w:t>
      </w:r>
      <w:r>
        <w:rPr>
          <w:rStyle w:val="DefaultParagraphFont"/>
          <w:bdr w:val="nil"/>
          <w:rtl w:val="0"/>
        </w:rPr>
        <w:t xml:space="preserve"> - podporovat chápání okolního světa a dětskou radost; motivovat děti k aktivnímu poznávání; povzbuzovat chuť k učení; porozumět věcem a jevům kolem sebe; rozvíjet schopnost přemýšlet, systematicky rozvíjet řeč a jazykové dovednosti.  </w:t>
      </w:r>
      <w:r>
        <w:rPr>
          <w:rStyle w:val="DefaultParagraphFont"/>
          <w:b/>
          <w:bCs/>
          <w:bdr w:val="nil"/>
          <w:rtl w:val="0"/>
        </w:rPr>
        <w:t>Osvojování si základů hodnot, na nichž je založena naše společnost j </w:t>
      </w:r>
      <w:r>
        <w:rPr>
          <w:rStyle w:val="DefaultParagraphFont"/>
          <w:bdr w:val="nil"/>
          <w:rtl w:val="0"/>
        </w:rPr>
        <w:t>ako jsou individuální svoboda, hodnota a rovnost všech lidí, soucítění a solidarita; ochrana zdraví a životního prostředí; vedení dětí k soudržnosti; rozvíjení schopnosti komunikovat a spolupracovat.  </w:t>
      </w:r>
      <w:r>
        <w:rPr>
          <w:rStyle w:val="DefaultParagraphFont"/>
          <w:b/>
          <w:bCs/>
          <w:bdr w:val="nil"/>
          <w:rtl w:val="0"/>
        </w:rPr>
        <w:t>Získávání osobní samostatnosti a schopnosti projevovat se jako samostatná osobnost </w:t>
      </w:r>
      <w:r>
        <w:rPr>
          <w:rStyle w:val="DefaultParagraphFont"/>
          <w:bdr w:val="nil"/>
          <w:rtl w:val="0"/>
        </w:rPr>
        <w:t xml:space="preserve"> - rozvíjet poznání sebe sama, vlastních zájmů a potřeb, zdravé sebedůvěry; vést děti ke spolupráci; povídat si, tolerovat druhé a pomáhat jim. </w:t>
      </w:r>
    </w:p>
    <w:p>
      <w:pPr>
        <w:pStyle w:val="Heading2"/>
        <w:bidi w:val="0"/>
        <w:spacing w:before="299" w:after="299"/>
        <w:rPr>
          <w:rStyle w:val="DefaultParagraphFont"/>
        </w:rPr>
      </w:pPr>
      <w:bookmarkStart w:id="25" w:name="_Toc256000027"/>
      <w:r>
        <w:rPr>
          <w:rStyle w:val="DefaultParagraphFont"/>
          <w:b/>
          <w:bCs/>
          <w:sz w:val="36"/>
          <w:szCs w:val="36"/>
          <w:bdr w:val="nil"/>
          <w:rtl w:val="0"/>
        </w:rPr>
        <w:t>Metody a formy vzdělávání</w:t>
      </w:r>
      <w:bookmarkEnd w:id="25"/>
      <w:r>
        <w:rPr>
          <w:rStyle w:val="DefaultParagraphFont"/>
          <w:b/>
          <w:bCs/>
          <w:sz w:val="36"/>
          <w:szCs w:val="36"/>
          <w:bdr w:val="nil"/>
          <w:rtl w:val="0"/>
        </w:rPr>
        <w:t> </w:t>
      </w:r>
    </w:p>
    <w:p>
      <w:pPr>
        <w:bidi w:val="0"/>
        <w:rPr>
          <w:rStyle w:val="DefaultParagraphFont"/>
        </w:rPr>
      </w:pPr>
      <w:r>
        <w:rPr>
          <w:rStyle w:val="DefaultParagraphFont"/>
          <w:b/>
          <w:bCs/>
          <w:bdr w:val="nil"/>
          <w:rtl w:val="0"/>
        </w:rPr>
        <w:t>Formy vzdělávání: </w:t>
      </w:r>
      <w:r>
        <w:rPr>
          <w:rStyle w:val="DefaultParagraphFont"/>
          <w:b/>
          <w:bCs/>
          <w:bdr w:val="nil"/>
          <w:rtl w:val="0"/>
        </w:rPr>
        <w:t xml:space="preserve">  </w:t>
      </w:r>
    </w:p>
    <w:p>
      <w:pPr>
        <w:bidi w:val="0"/>
        <w:spacing w:before="240" w:after="240"/>
        <w:rPr>
          <w:rStyle w:val="DefaultParagraphFont"/>
        </w:rPr>
      </w:pPr>
      <w:r>
        <w:rPr>
          <w:rStyle w:val="DefaultParagraphFont"/>
          <w:b/>
          <w:bCs/>
          <w:bdr w:val="nil"/>
          <w:rtl w:val="0"/>
        </w:rPr>
        <w:t>Formy vzdělávání:  </w:t>
      </w:r>
      <w:r>
        <w:rPr>
          <w:rStyle w:val="DefaultParagraphFont"/>
          <w:bdr w:val="nil"/>
          <w:rtl w:val="0"/>
        </w:rPr>
        <w:t>V zdělávání je uskutečňováno ve všech činnostech a situacích formou spontánních a řízených aktivit. Specifickou formu představuje didakticky cílená činnost, ve které učitelka naplňuje konkrétní vzdělávací cíle formou záměrného i spontánního učení za aktivní účasti dítěte (prožitkové činnosti, experimentování apod.). Všechny činnosti obsahují prvky hry, tvořivosti. Škola uplatňuje individuální, skupinovou a hromadnou formu vzdělávání. </w:t>
      </w:r>
    </w:p>
    <w:p>
      <w:pPr>
        <w:bidi w:val="0"/>
        <w:spacing w:before="240" w:after="240"/>
        <w:rPr>
          <w:rStyle w:val="DefaultParagraphFont"/>
        </w:rPr>
      </w:pPr>
      <w:r>
        <w:rPr>
          <w:rStyle w:val="DefaultParagraphFont"/>
          <w:bdr w:val="nil"/>
          <w:rtl w:val="0"/>
        </w:rPr>
        <w:t>Formy práce s dětmi v MŠ: didakticky zacílená činnost, prožitkové učení hrou, záměrné a spontánní sociální učení, individuální a skupinové činnosti, experimenty, výlety a vycházky do přírody, přímé pozorování. </w:t>
      </w:r>
    </w:p>
    <w:p>
      <w:pPr>
        <w:bidi w:val="0"/>
        <w:spacing w:before="240" w:after="240"/>
        <w:rPr>
          <w:rStyle w:val="DefaultParagraphFont"/>
        </w:rPr>
      </w:pPr>
      <w:r>
        <w:rPr>
          <w:rStyle w:val="DefaultParagraphFont"/>
        </w:rPr>
        <w:cr/>
      </w:r>
    </w:p>
    <w:p>
      <w:pPr>
        <w:bidi w:val="0"/>
        <w:rPr>
          <w:rStyle w:val="DefaultParagraphFont"/>
        </w:rPr>
      </w:pPr>
      <w:r>
        <w:rPr>
          <w:rStyle w:val="DefaultParagraphFont"/>
        </w:rPr>
        <w:cr/>
      </w:r>
      <w:r>
        <w:rPr>
          <w:rStyle w:val="DefaultParagraphFont"/>
          <w:b/>
          <w:bCs/>
          <w:bdr w:val="nil"/>
          <w:rtl w:val="0"/>
        </w:rPr>
        <w:t>Metody vzdělávání: </w:t>
      </w:r>
      <w:r>
        <w:rPr>
          <w:rStyle w:val="DefaultParagraphFont"/>
          <w:b/>
          <w:bCs/>
          <w:bdr w:val="nil"/>
          <w:rtl w:val="0"/>
        </w:rPr>
        <w:t xml:space="preserve">  </w:t>
      </w:r>
    </w:p>
    <w:p>
      <w:pPr>
        <w:bidi w:val="0"/>
        <w:spacing w:before="240" w:after="240"/>
        <w:rPr>
          <w:rStyle w:val="DefaultParagraphFont"/>
        </w:rPr>
      </w:pPr>
      <w:r>
        <w:rPr>
          <w:rStyle w:val="DefaultParagraphFont"/>
          <w:b/>
          <w:bCs/>
          <w:bdr w:val="nil"/>
          <w:rtl w:val="0"/>
        </w:rPr>
        <w:t>Metody vzdělávání:  </w:t>
      </w:r>
      <w:r>
        <w:rPr>
          <w:rStyle w:val="DefaultParagraphFont"/>
          <w:bdr w:val="nil"/>
          <w:rtl w:val="0"/>
        </w:rPr>
        <w:t>V mateřské škole se klade velký důraz na celkovou samostatnost dětí, schopnost vyjádřit svůj názor, umět požádat o pomoc, případně pomoci druhému, nebát se odmítnout nežádoucí projevy chování druhých, poradit si v běžných denních situacích a umět se rozhodnout. Vzdělávací program je individualizovaný, učitelka hledá optimální pedagogické cesty ke každému dítěti, snaží se  </w:t>
      </w:r>
      <w:r>
        <w:rPr>
          <w:rStyle w:val="DefaultParagraphFont"/>
          <w:b/>
          <w:bCs/>
          <w:bdr w:val="nil"/>
          <w:rtl w:val="0"/>
        </w:rPr>
        <w:t>najít a vyzdvihnout jeho silné stránky a posílit či rozvinout slabší stránky </w:t>
      </w:r>
      <w:r>
        <w:rPr>
          <w:rStyle w:val="DefaultParagraphFont"/>
          <w:bdr w:val="nil"/>
          <w:rtl w:val="0"/>
        </w:rPr>
        <w:t>. </w:t>
      </w:r>
      <w:r>
        <w:rPr>
          <w:rStyle w:val="DefaultParagraphFont"/>
          <w:b/>
          <w:bCs/>
          <w:bdr w:val="nil"/>
          <w:rtl w:val="0"/>
        </w:rPr>
        <w:t xml:space="preserve">  </w:t>
      </w:r>
      <w:r>
        <w:rPr>
          <w:rStyle w:val="DefaultParagraphFont"/>
          <w:bdr w:val="nil"/>
          <w:rtl w:val="0"/>
        </w:rPr>
        <w:t>Snahou je respektovat individuální potřeby dětí. Využívat především herních forem a metod práce jako například metody prožitkového a kooperativního učení hrou, situační učení, spontánní sociální učení. Preferencí je učení na základě praktické zkušenosti, na základě přímých zážitků. Všechny aktivity jsou spontánní i řízené, vzájemně provázané a vyvážené. </w:t>
      </w:r>
      <w:r>
        <w:rPr>
          <w:rStyle w:val="DefaultParagraphFont"/>
          <w:bdr w:val="nil"/>
          <w:rtl w:val="0"/>
        </w:rPr>
        <w:cr/>
      </w:r>
      <w:r>
        <w:rPr>
          <w:rStyle w:val="DefaultParagraphFont"/>
          <w:bdr w:val="nil"/>
          <w:rtl w:val="0"/>
        </w:rPr>
        <w:t>Metody práce s dětmi v MŠ: kooperativní hry, situační učení, práce s encyklopediemi, atd. </w:t>
      </w:r>
      <w:r>
        <w:rPr>
          <w:rStyle w:val="DefaultParagraphFont"/>
          <w:bdr w:val="nil"/>
          <w:rtl w:val="0"/>
        </w:rPr>
        <w:cr/>
      </w:r>
    </w:p>
    <w:p>
      <w:pPr>
        <w:bidi w:val="0"/>
        <w:rPr>
          <w:rStyle w:val="DefaultParagraphFont"/>
        </w:rPr>
      </w:pPr>
    </w:p>
    <w:p>
      <w:pPr>
        <w:pStyle w:val="Heading2"/>
        <w:bidi w:val="0"/>
        <w:spacing w:before="299" w:after="299"/>
        <w:rPr>
          <w:rStyle w:val="DefaultParagraphFont"/>
        </w:rPr>
      </w:pPr>
      <w:bookmarkStart w:id="26" w:name="_Toc256000028"/>
      <w:r>
        <w:rPr>
          <w:rStyle w:val="DefaultParagraphFont"/>
          <w:b/>
          <w:bCs/>
          <w:sz w:val="36"/>
          <w:szCs w:val="36"/>
          <w:bdr w:val="nil"/>
          <w:rtl w:val="0"/>
        </w:rPr>
        <w:t>Zajištění vzdělávání dětí se speciálními vzdělávacími potřebami a dětí nadaných</w:t>
      </w:r>
      <w:bookmarkEnd w:id="26"/>
      <w:r>
        <w:rPr>
          <w:rStyle w:val="DefaultParagraphFont"/>
          <w:b/>
          <w:bCs/>
          <w:sz w:val="36"/>
          <w:szCs w:val="36"/>
          <w:bdr w:val="nil"/>
          <w:rtl w:val="0"/>
        </w:rPr>
        <w:t> </w:t>
      </w:r>
    </w:p>
    <w:p>
      <w:pPr>
        <w:bidi w:val="0"/>
        <w:rPr>
          <w:rStyle w:val="DefaultParagraphFont"/>
        </w:rPr>
      </w:pPr>
      <w:r>
        <w:rPr>
          <w:rStyle w:val="DefaultParagraphFont"/>
          <w:b/>
          <w:bCs/>
          <w:bdr w:val="nil"/>
          <w:rtl w:val="0"/>
        </w:rPr>
        <w:t>Pravidla a průběh tvorby, realizace a vyhodnocení PLPP:  </w:t>
      </w:r>
    </w:p>
    <w:p>
      <w:pPr>
        <w:bidi w:val="0"/>
        <w:spacing w:before="240" w:after="240"/>
        <w:rPr>
          <w:rStyle w:val="DefaultParagraphFont"/>
        </w:rPr>
      </w:pPr>
      <w:r>
        <w:rPr>
          <w:rStyle w:val="DefaultParagraphFont"/>
          <w:bdr w:val="nil"/>
          <w:rtl w:val="0"/>
        </w:rPr>
        <w:t>Do současné doby se v naší MŠ nezdělávalo dítě více nadané, v případě docházky takového dítěte bychom vytvořili PLPP, spolupracovali bychom s PPP, abychom v co největší míře využili potenciálu nadaného dítěte s ohledem na jeho individuální možnosti. Dítě, které by vykazovalo známky nadání, bychom soustavně podporovali takovým způsobem, aby byl stimulován rozvoj jeho potenciálu a aby se mohlo nadání dále rozvíjet. </w:t>
      </w:r>
    </w:p>
    <w:p>
      <w:pPr>
        <w:bidi w:val="0"/>
        <w:rPr>
          <w:rStyle w:val="DefaultParagraphFont"/>
        </w:rPr>
      </w:pPr>
      <w:r>
        <w:rPr>
          <w:rStyle w:val="DefaultParagraphFont"/>
        </w:rPr>
        <w:cr/>
      </w:r>
      <w:r>
        <w:rPr>
          <w:rStyle w:val="DefaultParagraphFont"/>
          <w:b/>
          <w:bCs/>
          <w:bdr w:val="nil"/>
          <w:rtl w:val="0"/>
        </w:rPr>
        <w:t>Pravidla a průběh tvorby, realizace a vyhodnocení IVP:  </w:t>
      </w:r>
    </w:p>
    <w:p>
      <w:pPr>
        <w:bidi w:val="0"/>
        <w:spacing w:before="240" w:after="240"/>
        <w:rPr>
          <w:rStyle w:val="DefaultParagraphFont"/>
        </w:rPr>
      </w:pPr>
      <w:r>
        <w:rPr>
          <w:rStyle w:val="DefaultParagraphFont"/>
          <w:bdr w:val="nil"/>
          <w:rtl w:val="0"/>
        </w:rPr>
        <w:t>IVP vytváříme v souladu s doporučením příslušné pedagogicko-psychologické poradny, které dítě navštěvuje. Pravidelně jsme v kontaktu s pracovnicí této poradny. IVP průběžně vyhonocujeme a případně doplňujeme. </w:t>
      </w:r>
    </w:p>
    <w:p>
      <w:pPr>
        <w:bidi w:val="0"/>
        <w:rPr>
          <w:rStyle w:val="DefaultParagraphFont"/>
        </w:rPr>
      </w:pPr>
      <w:r>
        <w:rPr>
          <w:rStyle w:val="DefaultParagraphFont"/>
        </w:rPr>
        <w:cr/>
      </w:r>
      <w:r>
        <w:rPr>
          <w:rStyle w:val="DefaultParagraphFont"/>
          <w:b/>
          <w:bCs/>
          <w:bdr w:val="nil"/>
          <w:rtl w:val="0"/>
        </w:rPr>
        <w:t>Pravidla pro zapojení další subjektů:  </w:t>
      </w:r>
    </w:p>
    <w:p>
      <w:pPr>
        <w:bidi w:val="0"/>
        <w:spacing w:before="240" w:after="240"/>
        <w:rPr>
          <w:rStyle w:val="DefaultParagraphFont"/>
        </w:rPr>
      </w:pPr>
      <w:r>
        <w:rPr>
          <w:rStyle w:val="DefaultParagraphFont"/>
          <w:bdr w:val="nil"/>
          <w:rtl w:val="0"/>
        </w:rPr>
        <w:t>Soustavně spolupracujeme s pedagogicko-psychologickou poradnou v Rokycanech a děti individuálně navštěvují logopedii.Úzce spolupracujeme se základní školou Ejpovice, s hasiči, s knihovnou a muzeem v Rokycanech, Malou technickou univezitou Plzeň, Mozaikou Rokycany, s Obecním úřadem Ejpovice. </w:t>
      </w:r>
    </w:p>
    <w:p>
      <w:pPr>
        <w:bidi w:val="0"/>
        <w:rPr>
          <w:rStyle w:val="DefaultParagraphFont"/>
        </w:rPr>
      </w:pPr>
      <w:r>
        <w:rPr>
          <w:rStyle w:val="DefaultParagraphFont"/>
        </w:rPr>
        <w:cr/>
      </w:r>
      <w:r>
        <w:rPr>
          <w:rStyle w:val="DefaultParagraphFont"/>
          <w:b/>
          <w:bCs/>
          <w:bdr w:val="nil"/>
          <w:rtl w:val="0"/>
        </w:rPr>
        <w:t>Zodpovědné osoby:  </w:t>
      </w:r>
    </w:p>
    <w:p>
      <w:pPr>
        <w:bidi w:val="0"/>
        <w:spacing w:before="240" w:after="240"/>
        <w:rPr>
          <w:rStyle w:val="DefaultParagraphFont"/>
        </w:rPr>
      </w:pPr>
      <w:r>
        <w:rPr>
          <w:rStyle w:val="DefaultParagraphFont"/>
          <w:bdr w:val="nil"/>
          <w:rtl w:val="0"/>
        </w:rPr>
        <w:t>O děti s SVP pečuje pedagog a přidělený asistent pedagoga. </w:t>
      </w:r>
    </w:p>
    <w:p>
      <w:pPr>
        <w:bidi w:val="0"/>
        <w:rPr>
          <w:rStyle w:val="DefaultParagraphFont"/>
        </w:rPr>
      </w:pPr>
      <w:r>
        <w:rPr>
          <w:rStyle w:val="DefaultParagraphFont"/>
        </w:rPr>
        <w:cr/>
      </w:r>
      <w:r>
        <w:rPr>
          <w:rStyle w:val="DefaultParagraphFont"/>
          <w:b/>
          <w:bCs/>
          <w:bdr w:val="nil"/>
          <w:rtl w:val="0"/>
        </w:rPr>
        <w:t>Přehled předmětů speciálně pedagogické péče: </w:t>
      </w:r>
      <w:r>
        <w:rPr>
          <w:rStyle w:val="DefaultParagraphFont"/>
          <w:bdr w:val="nil"/>
          <w:rtl w:val="0"/>
        </w:rPr>
        <w:t xml:space="preserve">  </w:t>
      </w:r>
    </w:p>
    <w:p>
      <w:pPr>
        <w:bidi w:val="0"/>
        <w:spacing w:before="240" w:after="240"/>
        <w:rPr>
          <w:rStyle w:val="DefaultParagraphFont"/>
          <w:bdr w:val="nil"/>
          <w:rtl w:val="0"/>
        </w:rPr>
      </w:pPr>
      <w:r>
        <w:rPr>
          <w:rStyle w:val="DefaultParagraphFont"/>
          <w:bdr w:val="nil"/>
          <w:rtl w:val="0"/>
        </w:rPr>
        <w:t>Spolupráce s pedagogicko-psychologickou poradnou v Rokycanech. V naší MŠ pracuje pedagog s rozšířenou kompetencí pro oblast speciální pedagogiky, který se podílí na přípravě IVP pro určené děti. </w:t>
      </w:r>
    </w:p>
    <w:p>
      <w:pPr>
        <w:bidi w:val="0"/>
        <w:rPr>
          <w:rStyle w:val="DefaultParagraphFont"/>
          <w:bdr w:val="nil"/>
          <w:rtl w:val="0"/>
        </w:rPr>
      </w:pPr>
      <w:r>
        <w:rPr>
          <w:rStyle w:val="DefaultParagraphFont"/>
          <w:bdr w:val="nil"/>
          <w:rtl w:val="0"/>
        </w:rPr>
        <w:cr/>
      </w:r>
      <w:r>
        <w:rPr>
          <w:rStyle w:val="DefaultParagraphFont"/>
          <w:bdr w:val="nil"/>
          <w:rtl w:val="0"/>
        </w:rPr>
        <w:t>   </w:t>
      </w:r>
    </w:p>
    <w:p>
      <w:pPr>
        <w:pStyle w:val="Heading2"/>
        <w:bidi w:val="0"/>
        <w:spacing w:before="299" w:after="299"/>
        <w:rPr>
          <w:rStyle w:val="DefaultParagraphFont"/>
        </w:rPr>
      </w:pPr>
      <w:bookmarkStart w:id="27" w:name="_Toc256000029"/>
      <w:r>
        <w:rPr>
          <w:rStyle w:val="DefaultParagraphFont"/>
          <w:b/>
          <w:bCs/>
          <w:sz w:val="36"/>
          <w:szCs w:val="36"/>
          <w:bdr w:val="nil"/>
          <w:rtl w:val="0"/>
        </w:rPr>
        <w:t>Zajištění průběhu vzdělávání dětí od dvou do tří let</w:t>
      </w:r>
      <w:bookmarkEnd w:id="27"/>
      <w:r>
        <w:rPr>
          <w:rStyle w:val="DefaultParagraphFont"/>
          <w:b/>
          <w:bCs/>
          <w:sz w:val="36"/>
          <w:szCs w:val="36"/>
          <w:bdr w:val="nil"/>
          <w:rtl w:val="0"/>
        </w:rPr>
        <w:t> </w:t>
      </w:r>
    </w:p>
    <w:p>
      <w:pPr>
        <w:bidi w:val="0"/>
        <w:spacing w:before="240" w:after="240"/>
        <w:rPr>
          <w:rStyle w:val="DefaultParagraphFont"/>
        </w:rPr>
      </w:pPr>
      <w:r>
        <w:rPr>
          <w:rStyle w:val="DefaultParagraphFont"/>
          <w:bdr w:val="nil"/>
          <w:rtl w:val="0"/>
        </w:rPr>
        <w:t>Pokud mateřskou školu navštěvuje dítě, které dovrší věku tří let v průběhu školního roku a z kapacitních důvodů je mu umožněno MŠ navštěvovat, bereme ohled na jeho adaptaci, postupné zapojování do činností a her, je brán ohled na jeho věk a tělesný vzrůst. Dítě nenutíme do činností, respektujeme jeho rozvoj a hravost. Je mu umožňována adaptace a spolupracujeme s rodiči, je jim umožněno s dítětem být ve třídě MŠ po nějakou dobu. </w:t>
      </w:r>
    </w:p>
    <w:p>
      <w:pPr>
        <w:bidi w:val="0"/>
        <w:spacing w:before="240" w:after="240"/>
        <w:rPr>
          <w:rStyle w:val="DefaultParagraphFont"/>
        </w:rPr>
      </w:pPr>
      <w:r>
        <w:rPr>
          <w:rStyle w:val="DefaultParagraphFont"/>
          <w:bdr w:val="nil"/>
          <w:rtl w:val="0"/>
        </w:rPr>
        <w:t> </w:t>
      </w:r>
    </w:p>
    <w:p>
      <w:pPr>
        <w:pStyle w:val="Heading1"/>
        <w:bidi w:val="0"/>
        <w:spacing w:before="322" w:after="322"/>
        <w:rPr>
          <w:rStyle w:val="DefaultParagraphFont"/>
        </w:rPr>
        <w:sectPr>
          <w:type w:val="nextColumn"/>
          <w:pgSz w:w="11906" w:h="16838"/>
          <w:pgMar w:top="1440" w:right="1325" w:bottom="1440" w:left="1800" w:header="720" w:footer="720"/>
          <w:cols w:space="720"/>
        </w:sectPr>
      </w:pPr>
    </w:p>
    <w:p>
      <w:pPr>
        <w:pStyle w:val="Heading1"/>
        <w:bidi w:val="0"/>
        <w:spacing w:before="322" w:after="322"/>
        <w:rPr>
          <w:rStyle w:val="DefaultParagraphFont"/>
          <w:b/>
          <w:bCs/>
          <w:sz w:val="48"/>
          <w:szCs w:val="48"/>
          <w:bdr w:val="nil"/>
          <w:rtl w:val="0"/>
        </w:rPr>
      </w:pPr>
      <w:bookmarkStart w:id="28" w:name="_Toc256000031"/>
      <w:r>
        <w:rPr>
          <w:rStyle w:val="DefaultParagraphFont"/>
          <w:b/>
          <w:bCs/>
          <w:sz w:val="48"/>
          <w:szCs w:val="48"/>
          <w:bdr w:val="nil"/>
          <w:rtl w:val="0"/>
        </w:rPr>
        <w:t>Vzdělávací obsah</w:t>
      </w:r>
      <w:bookmarkEnd w:id="28"/>
      <w:r>
        <w:rPr>
          <w:rStyle w:val="DefaultParagraphFont"/>
          <w:b/>
          <w:bCs/>
          <w:sz w:val="48"/>
          <w:szCs w:val="48"/>
          <w:bdr w:val="nil"/>
          <w:rtl w:val="0"/>
        </w:rPr>
        <w:t> </w:t>
      </w:r>
    </w:p>
    <w:p>
      <w:pPr>
        <w:pStyle w:val="Heading2"/>
        <w:bidi w:val="0"/>
        <w:spacing w:before="299" w:after="299"/>
        <w:rPr>
          <w:rStyle w:val="DefaultParagraphFont"/>
        </w:rPr>
      </w:pPr>
      <w:bookmarkStart w:id="29" w:name="_Toc256000032"/>
      <w:r>
        <w:rPr>
          <w:rStyle w:val="DefaultParagraphFont"/>
          <w:b/>
          <w:bCs/>
          <w:sz w:val="36"/>
          <w:szCs w:val="36"/>
          <w:bdr w:val="nil"/>
          <w:rtl w:val="0"/>
        </w:rPr>
        <w:t>Integrované bloky</w:t>
      </w:r>
      <w:bookmarkEnd w:id="29"/>
      <w:r>
        <w:rPr>
          <w:rStyle w:val="DefaultParagraphFont"/>
          <w:b/>
          <w:bCs/>
          <w:sz w:val="36"/>
          <w:szCs w:val="36"/>
          <w:bdr w:val="nil"/>
          <w:rtl w:val="0"/>
        </w:rPr>
        <w:t> </w:t>
      </w:r>
    </w:p>
    <w:p>
      <w:pPr>
        <w:pStyle w:val="Heading3"/>
        <w:bidi w:val="0"/>
        <w:spacing w:before="281" w:after="281"/>
        <w:rPr>
          <w:rStyle w:val="DefaultParagraphFont"/>
        </w:rPr>
      </w:pPr>
      <w:bookmarkStart w:id="30" w:name="_Toc256000033"/>
      <w:r>
        <w:rPr>
          <w:rStyle w:val="DefaultParagraphFont"/>
          <w:b/>
          <w:bCs/>
          <w:sz w:val="28"/>
          <w:szCs w:val="28"/>
          <w:bdr w:val="nil"/>
          <w:rtl w:val="0"/>
        </w:rPr>
        <w:t>Forma vzdělávání: Denní</w:t>
      </w:r>
      <w:bookmarkEnd w:id="30"/>
      <w:r>
        <w:rPr>
          <w:rStyle w:val="DefaultParagraphFont"/>
          <w:b/>
          <w:bCs/>
          <w:sz w:val="28"/>
          <w:szCs w:val="28"/>
          <w:bdr w:val="nil"/>
          <w:rtl w:val="0"/>
        </w:rPr>
        <w:t> </w:t>
      </w:r>
    </w:p>
    <w:p>
      <w:pPr>
        <w:pStyle w:val="Heading4"/>
        <w:bidi w:val="0"/>
        <w:spacing w:before="319" w:after="319"/>
        <w:rPr>
          <w:rStyle w:val="DefaultParagraphFont"/>
        </w:rPr>
      </w:pPr>
      <w:r>
        <w:rPr>
          <w:rStyle w:val="DefaultParagraphFont"/>
          <w:b/>
          <w:bCs/>
          <w:sz w:val="24"/>
          <w:szCs w:val="24"/>
          <w:bdr w:val="nil"/>
          <w:rtl w:val="0"/>
        </w:rPr>
        <w:t>a) Barevný podzim </w:t>
      </w:r>
    </w:p>
    <w:tbl>
      <w:tblPr>
        <w:tblStyle w:val="TabulkaIB"/>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5" w:type="dxa"/>
          <w:bottom w:w="0" w:type="dxa"/>
          <w:right w:w="15" w:type="dxa"/>
        </w:tblCellMar>
      </w:tblPr>
      <w:tblGrid>
        <w:gridCol w:w="4525"/>
        <w:gridCol w:w="9188"/>
      </w:tblGrid>
      <w:tr>
        <w:tblPrEx>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5" w:type="dxa"/>
            <w:bottom w:w="0" w:type="dxa"/>
            <w:right w:w="15" w:type="dxa"/>
          </w:tblCellMar>
        </w:tblPrEx>
        <w:trPr>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left"/>
              <w:rPr>
                <w:rStyle w:val="DefaultParagraphFont"/>
                <w:rFonts w:asciiTheme="minorHAnsi" w:eastAsiaTheme="minorEastAsia" w:hAnsiTheme="minorHAnsi"/>
                <w:sz w:val="22"/>
              </w:rPr>
            </w:pPr>
            <w:r>
              <w:rPr>
                <w:rStyle w:val="DefaultParagraphFont"/>
                <w:rFonts w:ascii="Calibri" w:eastAsia="Calibri" w:hAnsi="Calibri" w:cs="Calibri"/>
                <w:b w:val="0"/>
                <w:bCs w:val="0"/>
                <w:i w:val="0"/>
                <w:iCs w:val="0"/>
                <w:smallCaps w:val="0"/>
                <w:color w:val="auto"/>
                <w:sz w:val="22"/>
                <w:szCs w:val="24"/>
                <w:bdr w:val="nil"/>
                <w:rtl w:val="0"/>
              </w:rPr>
              <w:t>Název integrovaného bloku</w:t>
            </w:r>
          </w:p>
        </w:tc>
        <w:tc>
          <w:tcPr>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center"/>
              <w:rPr>
                <w:rStyle w:val="DefaultParagraphFont"/>
                <w:rFonts w:asciiTheme="minorHAnsi" w:eastAsiaTheme="minorEastAsia" w:hAnsiTheme="minorHAnsi"/>
                <w:sz w:val="22"/>
              </w:rPr>
            </w:pPr>
            <w:r>
              <w:rPr>
                <w:rStyle w:val="DefaultParagraphFont"/>
                <w:rFonts w:ascii="Calibri" w:eastAsia="Calibri" w:hAnsi="Calibri" w:cs="Calibri"/>
                <w:b w:val="0"/>
                <w:bCs w:val="0"/>
                <w:i w:val="0"/>
                <w:iCs w:val="0"/>
                <w:smallCaps w:val="0"/>
                <w:color w:val="auto"/>
                <w:sz w:val="22"/>
                <w:szCs w:val="24"/>
                <w:bdr w:val="nil"/>
                <w:rtl w:val="0"/>
              </w:rPr>
              <w:t>a) Barevný podzim</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pPr>
              <w:shd w:val="clear" w:color="auto" w:fill="DEEAF6"/>
              <w:bidi w:val="0"/>
              <w:spacing w:before="0" w:beforeAutospacing="0" w:after="0" w:afterAutospacing="0" w:line="240" w:lineRule="auto"/>
              <w:jc w:val="left"/>
              <w:rPr>
                <w:rStyle w:val="DefaultParagraphFont"/>
                <w:rFonts w:asciiTheme="minorHAnsi" w:eastAsiaTheme="minorEastAsia" w:hAnsiTheme="minorHAnsi"/>
                <w:sz w:val="22"/>
              </w:rPr>
            </w:pPr>
            <w:r>
              <w:rPr>
                <w:rStyle w:val="DefaultParagraphFont"/>
                <w:rFonts w:ascii="Calibri" w:eastAsia="Calibri" w:hAnsi="Calibri" w:cs="Calibri"/>
                <w:b w:val="0"/>
                <w:bCs w:val="0"/>
                <w:i w:val="0"/>
                <w:iCs w:val="0"/>
                <w:smallCaps w:val="0"/>
                <w:color w:val="auto"/>
                <w:sz w:val="22"/>
                <w:szCs w:val="24"/>
                <w:bdr w:val="nil"/>
                <w:rtl w:val="0"/>
              </w:rPr>
              <w:t>Oblast</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rPr>
            </w:pPr>
            <w:r>
              <w:rPr>
                <w:rStyle w:val="DefaultParagraphFont"/>
                <w:rFonts w:ascii="Calibri" w:eastAsia="Calibri" w:hAnsi="Calibri" w:cs="Calibri"/>
                <w:b w:val="0"/>
                <w:bCs w:val="0"/>
                <w:i w:val="0"/>
                <w:iCs w:val="0"/>
                <w:smallCaps w:val="0"/>
                <w:color w:val="auto"/>
                <w:sz w:val="22"/>
                <w:szCs w:val="24"/>
                <w:bdr w:val="nil"/>
                <w:rtl w:val="0"/>
              </w:rPr>
              <w:t>Dítě a svět, Dítě a společnost, Dítě a ten druhý, Dítě a jeho psychika, Dítě a jeho tělo</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pPr>
              <w:shd w:val="clear" w:color="auto" w:fill="DEEAF6"/>
              <w:bidi w:val="0"/>
              <w:spacing w:before="0" w:beforeAutospacing="0" w:after="0" w:afterAutospacing="0" w:line="240" w:lineRule="auto"/>
              <w:jc w:val="left"/>
              <w:rPr>
                <w:rStyle w:val="DefaultParagraphFont"/>
                <w:rFonts w:asciiTheme="minorHAnsi" w:eastAsiaTheme="minorEastAsia" w:hAnsiTheme="minorHAnsi"/>
                <w:sz w:val="22"/>
              </w:rPr>
            </w:pPr>
            <w:r>
              <w:rPr>
                <w:rStyle w:val="DefaultParagraphFont"/>
                <w:rFonts w:ascii="Calibri" w:eastAsia="Calibri" w:hAnsi="Calibri" w:cs="Calibri"/>
                <w:b w:val="0"/>
                <w:bCs w:val="0"/>
                <w:i w:val="0"/>
                <w:iCs w:val="0"/>
                <w:smallCaps w:val="0"/>
                <w:color w:val="auto"/>
                <w:sz w:val="22"/>
                <w:szCs w:val="24"/>
                <w:bdr w:val="nil"/>
                <w:rtl w:val="0"/>
              </w:rPr>
              <w:t>Charakteristika integrovaného bloku</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rPr>
            </w:pPr>
            <w:r>
              <w:rPr>
                <w:rStyle w:val="DefaultParagraphFont"/>
                <w:rFonts w:ascii="Calibri" w:eastAsia="Calibri" w:hAnsi="Calibri" w:cs="Calibri"/>
                <w:b w:val="0"/>
                <w:bCs w:val="0"/>
                <w:i w:val="0"/>
                <w:iCs w:val="0"/>
                <w:smallCaps w:val="0"/>
                <w:color w:val="auto"/>
                <w:sz w:val="22"/>
                <w:szCs w:val="24"/>
                <w:bdr w:val="nil"/>
                <w:rtl w:val="0"/>
              </w:rPr>
              <w:t>Děti se seznamují s novými kamarády, sdělují si své zážitky z prázdnin, nové děti se seznamují s režimem a pravidly školky, upevňují si hygienické a sebeobslužné návyky. U nových dětí klademe důraz na adaptaci. Pozorujeme změny v přírodě, které se s příchodem podzimu objevují. Využíváme školní zahradu i blízkosti přírody. Vyprávíme si o zvířatech, která se připravují na zimu, využíváme přírodniny a podzimními plody k tvořivým činnostem, vnímáme rozmanitosti podzimního počasí.</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pPr>
              <w:shd w:val="clear" w:color="auto" w:fill="DEEAF6"/>
              <w:bidi w:val="0"/>
              <w:spacing w:before="0" w:beforeAutospacing="0" w:after="0" w:afterAutospacing="0" w:line="240" w:lineRule="auto"/>
              <w:jc w:val="left"/>
              <w:rPr>
                <w:rStyle w:val="DefaultParagraphFont"/>
                <w:rFonts w:asciiTheme="minorHAnsi" w:eastAsiaTheme="minorEastAsia" w:hAnsiTheme="minorHAnsi"/>
                <w:sz w:val="22"/>
              </w:rPr>
            </w:pPr>
            <w:r>
              <w:rPr>
                <w:rStyle w:val="DefaultParagraphFont"/>
                <w:rFonts w:ascii="Calibri" w:eastAsia="Calibri" w:hAnsi="Calibri" w:cs="Calibri"/>
                <w:b w:val="0"/>
                <w:bCs w:val="0"/>
                <w:i w:val="0"/>
                <w:iCs w:val="0"/>
                <w:smallCaps w:val="0"/>
                <w:color w:val="auto"/>
                <w:sz w:val="22"/>
                <w:szCs w:val="24"/>
                <w:bdr w:val="nil"/>
                <w:rtl w:val="0"/>
              </w:rPr>
              <w:t>Návrhy dílčích témat pro realizaci</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rPr>
            </w:pPr>
            <w:r>
              <w:rPr>
                <w:rStyle w:val="DefaultParagraphFont"/>
                <w:rFonts w:ascii="Calibri" w:eastAsia="Calibri" w:hAnsi="Calibri" w:cs="Calibri"/>
                <w:b w:val="0"/>
                <w:bCs w:val="0"/>
                <w:i w:val="0"/>
                <w:iCs w:val="0"/>
                <w:smallCaps w:val="0"/>
                <w:color w:val="auto"/>
                <w:sz w:val="22"/>
                <w:szCs w:val="24"/>
                <w:bdr w:val="nil"/>
                <w:rtl w:val="0"/>
              </w:rPr>
              <w:t>ježek</w:t>
            </w:r>
          </w:p>
        </w:tc>
      </w:tr>
    </w:tbl>
    <w:p>
      <w:pPr>
        <w:bidi w:val="0"/>
        <w:rPr>
          <w:rStyle w:val="DefaultParagraphFont"/>
        </w:rPr>
      </w:pPr>
      <w:r>
        <w:rPr>
          <w:rStyle w:val="DefaultParagraphFont"/>
          <w:bdr w:val="nil"/>
          <w:rtl w:val="0"/>
        </w:rPr>
        <w:t>   </w:t>
      </w:r>
    </w:p>
    <w:tbl>
      <w:tblPr>
        <w:tblStyle w:val="TabulkaIB"/>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5" w:type="dxa"/>
          <w:bottom w:w="0" w:type="dxa"/>
          <w:right w:w="15" w:type="dxa"/>
        </w:tblCellMar>
      </w:tblPr>
      <w:tblGrid>
        <w:gridCol w:w="4525"/>
        <w:gridCol w:w="4015"/>
        <w:gridCol w:w="5173"/>
      </w:tblGrid>
      <w:tr>
        <w:tblPrEx>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5" w:type="dxa"/>
            <w:bottom w:w="0" w:type="dxa"/>
            <w:right w:w="15" w:type="dxa"/>
          </w:tblCellMar>
        </w:tblPrEx>
        <w:trPr>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center"/>
              <w:rPr>
                <w:rStyle w:val="DefaultParagraphFont"/>
                <w:rFonts w:asciiTheme="minorHAnsi" w:eastAsiaTheme="minorEastAsia" w:hAnsiTheme="minorHAnsi"/>
                <w:sz w:val="22"/>
                <w:bdr w:val="nil"/>
                <w:rtl w:val="0"/>
              </w:rPr>
            </w:pPr>
            <w:r>
              <w:rPr>
                <w:rStyle w:val="DefaultParagraphFont"/>
                <w:rFonts w:ascii="Calibri" w:eastAsia="Calibri" w:hAnsi="Calibri" w:cs="Calibri"/>
                <w:b/>
                <w:bCs/>
                <w:i w:val="0"/>
                <w:iCs w:val="0"/>
                <w:smallCaps w:val="0"/>
                <w:color w:val="auto"/>
                <w:sz w:val="22"/>
                <w:szCs w:val="24"/>
                <w:bdr w:val="nil"/>
                <w:rtl w:val="0"/>
              </w:rPr>
              <w:t>Klíčové kompetence</w:t>
            </w:r>
          </w:p>
        </w:tc>
        <w:tc>
          <w:tcPr>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center"/>
              <w:rPr>
                <w:rStyle w:val="DefaultParagraphFont"/>
                <w:rFonts w:asciiTheme="minorHAnsi" w:eastAsiaTheme="minorEastAsia" w:hAnsiTheme="minorHAnsi"/>
                <w:sz w:val="22"/>
                <w:bdr w:val="nil"/>
                <w:rtl w:val="0"/>
              </w:rPr>
            </w:pPr>
            <w:r>
              <w:rPr>
                <w:rStyle w:val="DefaultParagraphFont"/>
                <w:rFonts w:ascii="Calibri" w:eastAsia="Calibri" w:hAnsi="Calibri" w:cs="Calibri"/>
                <w:b/>
                <w:bCs/>
                <w:i w:val="0"/>
                <w:iCs w:val="0"/>
                <w:smallCaps w:val="0"/>
                <w:color w:val="auto"/>
                <w:sz w:val="22"/>
                <w:szCs w:val="24"/>
                <w:bdr w:val="nil"/>
                <w:rtl w:val="0"/>
              </w:rPr>
              <w:t>Dílčí cíle</w:t>
            </w:r>
          </w:p>
        </w:tc>
        <w:tc>
          <w:tcPr>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center"/>
              <w:rPr>
                <w:rStyle w:val="DefaultParagraphFont"/>
                <w:rFonts w:asciiTheme="minorHAnsi" w:eastAsiaTheme="minorEastAsia" w:hAnsiTheme="minorHAnsi"/>
                <w:sz w:val="22"/>
                <w:bdr w:val="nil"/>
                <w:rtl w:val="0"/>
              </w:rPr>
            </w:pPr>
            <w:r>
              <w:rPr>
                <w:rStyle w:val="DefaultParagraphFont"/>
                <w:rFonts w:ascii="Calibri" w:eastAsia="Calibri" w:hAnsi="Calibri" w:cs="Calibri"/>
                <w:b/>
                <w:bCs/>
                <w:i w:val="0"/>
                <w:iCs w:val="0"/>
                <w:smallCaps w:val="0"/>
                <w:color w:val="auto"/>
                <w:sz w:val="22"/>
                <w:szCs w:val="24"/>
                <w:bdr w:val="nil"/>
                <w:rtl w:val="0"/>
              </w:rPr>
              <w:t>Očekávané výstupy</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si všímá dění i problémů v bezprostředním okolí; přirozenou motivací k řešení dalších problémů a situací je pro něj pozitivní odezva na aktivní zájem</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rozvoj, zpřesňování a kultivace smyslového vnímání, přechod od konkrétně názorného myšlení k myšlení slovně-logickému (pojmovému), rozvoj paměti a pozornosti, přechod od bezděčných forem těchto funkcí k úmyslným, rozvoj a kultivace představivosti a fantazie</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chápat prostorové pojmy (vpravo, vlevo, dole, nahoře, uprostřed, za, pod, nad, u, vedle, mezi apod.), elementární časové pojmy (teď, dnes, včera, zítra, ráno, večer, jaro, léto, podzim, zima, rok), orientovat se v prostoru i v rovině, částečně se orientovat v čase</w:t>
            </w:r>
          </w:p>
        </w:tc>
      </w:tr>
      <w:tr>
        <w:tblPrEx>
          <w:tblW w:w="5000" w:type="pct"/>
          <w:tblInd w:w="0" w:type="dxa"/>
          <w:tblCellMar>
            <w:top w:w="0" w:type="dxa"/>
            <w:left w:w="15" w:type="dxa"/>
            <w:bottom w:w="0" w:type="dxa"/>
            <w:right w:w="15" w:type="dxa"/>
          </w:tblCellMar>
        </w:tblPrEx>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klade otázky a hledá na ně odpovědi, aktivně si všímá, co se kolem něho děje; chce porozumět věcem, jevům a dějům, které kolem sebe vidí; poznává, že se může mnohému naučit, raduje se z toho, co samo dokázalo a zvládlo</w:t>
            </w:r>
          </w:p>
        </w:tc>
        <w:tc>
          <w:tcPr>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seznamování s místem a prostředím, ve kterém dítě žije, a vytváření pozitivního vztahu k němu</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porozumět, že změny jsou přirozené a samozřejmé (všechno kolem se mění, vyvíjí, pohybuje a proměňuje a že s těmito změnami je třeba v životě počítat), přizpůsobovat se běžně proměnlivým okolnostem doma i v mateřské škole</w:t>
            </w:r>
          </w:p>
        </w:tc>
      </w:tr>
      <w:tr>
        <w:tblPrEx>
          <w:tblW w:w="5000" w:type="pct"/>
          <w:tblInd w:w="0" w:type="dxa"/>
          <w:tblCellMar>
            <w:top w:w="0" w:type="dxa"/>
            <w:left w:w="15" w:type="dxa"/>
            <w:bottom w:w="0" w:type="dxa"/>
            <w:right w:w="15" w:type="dxa"/>
          </w:tblCellMar>
        </w:tblPrEx>
        <w:tc>
          <w:tcPr>
            <w:tcW w:w="1650" w:type="pct"/>
            <w:vMerge/>
            <w:tcBorders>
              <w:top w:val="inset" w:sz="6" w:space="0" w:color="808080"/>
              <w:left w:val="inset" w:sz="6" w:space="0" w:color="808080"/>
              <w:bottom w:val="inset" w:sz="6" w:space="0" w:color="808080"/>
              <w:right w:val="inset" w:sz="6" w:space="0" w:color="808080"/>
            </w:tcBorders>
          </w:tcPr>
          <w:p>
            <w:pPr>
              <w:spacing w:line="312" w:lineRule="auto"/>
              <w:jc w:val="both"/>
              <w:rPr>
                <w:rStyle w:val="DefaultParagraphFont"/>
                <w:rFonts w:asciiTheme="minorHAnsi" w:eastAsiaTheme="minorEastAsia" w:hAnsiTheme="minorHAnsi"/>
                <w:sz w:val="22"/>
              </w:rPr>
            </w:pPr>
          </w:p>
        </w:tc>
        <w:tc>
          <w:tcPr>
            <w:vMerge/>
            <w:tcBorders>
              <w:top w:val="inset" w:sz="6" w:space="0" w:color="808080"/>
              <w:left w:val="inset" w:sz="6" w:space="0" w:color="808080"/>
              <w:bottom w:val="inset" w:sz="6" w:space="0" w:color="808080"/>
              <w:right w:val="inset" w:sz="6" w:space="0" w:color="808080"/>
            </w:tcBorders>
          </w:tcPr>
          <w:p>
            <w:pPr>
              <w:spacing w:before="0" w:beforeAutospacing="0" w:after="0" w:afterAutospacing="0" w:line="240" w:lineRule="auto"/>
              <w:jc w:val="both"/>
              <w:rPr>
                <w:rStyle w:val="DefaultParagraphFont"/>
                <w:rFonts w:asciiTheme="minorHAnsi" w:eastAsiaTheme="minorEastAsia" w:hAnsiTheme="minorHAnsi"/>
                <w:sz w:val="22"/>
                <w:bdr w:val="nil"/>
                <w:rtl w:val="0"/>
              </w:rPr>
            </w:pP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všímat si změn a dění v nejbližším okolí</w:t>
            </w:r>
          </w:p>
        </w:tc>
      </w:tr>
      <w:tr>
        <w:tblPrEx>
          <w:tblW w:w="5000" w:type="pct"/>
          <w:tblInd w:w="0" w:type="dxa"/>
          <w:tblCellMar>
            <w:top w:w="0" w:type="dxa"/>
            <w:left w:w="15" w:type="dxa"/>
            <w:bottom w:w="0" w:type="dxa"/>
            <w:right w:w="15" w:type="dxa"/>
          </w:tblCellMar>
        </w:tblPrEx>
        <w:tc>
          <w:tcPr>
            <w:tcW w:w="1650" w:type="pct"/>
            <w:vMerge/>
            <w:tcBorders>
              <w:top w:val="inset" w:sz="6" w:space="0" w:color="808080"/>
              <w:left w:val="inset" w:sz="6" w:space="0" w:color="808080"/>
              <w:bottom w:val="inset" w:sz="6" w:space="0" w:color="808080"/>
              <w:right w:val="inset" w:sz="6" w:space="0" w:color="808080"/>
            </w:tcBorders>
          </w:tcPr>
          <w:p>
            <w:pPr>
              <w:spacing w:line="312" w:lineRule="auto"/>
              <w:jc w:val="both"/>
              <w:rPr>
                <w:rStyle w:val="DefaultParagraphFont"/>
                <w:rFonts w:asciiTheme="minorHAnsi" w:eastAsiaTheme="minorEastAsia" w:hAnsiTheme="minorHAnsi"/>
                <w:sz w:val="22"/>
              </w:rPr>
            </w:pPr>
          </w:p>
        </w:tc>
        <w:tc>
          <w:tcPr>
            <w:vMerge/>
            <w:tcBorders>
              <w:top w:val="inset" w:sz="6" w:space="0" w:color="808080"/>
              <w:left w:val="inset" w:sz="6" w:space="0" w:color="808080"/>
              <w:bottom w:val="inset" w:sz="6" w:space="0" w:color="808080"/>
              <w:right w:val="inset" w:sz="6" w:space="0" w:color="808080"/>
            </w:tcBorders>
          </w:tcPr>
          <w:p>
            <w:pPr>
              <w:spacing w:before="0" w:beforeAutospacing="0" w:after="0" w:afterAutospacing="0" w:line="240" w:lineRule="auto"/>
              <w:jc w:val="both"/>
              <w:rPr>
                <w:rStyle w:val="DefaultParagraphFont"/>
                <w:rFonts w:asciiTheme="minorHAnsi" w:eastAsiaTheme="minorEastAsia" w:hAnsiTheme="minorHAnsi"/>
                <w:sz w:val="22"/>
                <w:bdr w:val="nil"/>
                <w:rtl w:val="0"/>
              </w:rPr>
            </w:pP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orientovat se bezpečně ve známém prostředí i v životě tohoto prostředí (doma, v budově mateřské školy, v blízkém okolí)</w:t>
            </w:r>
          </w:p>
        </w:tc>
      </w:tr>
      <w:tr>
        <w:tblPrEx>
          <w:tblW w:w="5000" w:type="pct"/>
          <w:tblInd w:w="0" w:type="dxa"/>
          <w:tblCellMar>
            <w:top w:w="0" w:type="dxa"/>
            <w:left w:w="15" w:type="dxa"/>
            <w:bottom w:w="0" w:type="dxa"/>
            <w:right w:w="15" w:type="dxa"/>
          </w:tblCellMar>
        </w:tblPrEx>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komunikuje v běžných situacích bez zábran a ostychu s dětmi i s dospělými; chápe, že být komunikativní, vstřícné, iniciativní a aktivní je výhodou</w:t>
            </w:r>
          </w:p>
        </w:tc>
        <w:tc>
          <w:tcPr>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seznamování s pravidly chování ve vztahu k druhému</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bránit se projevům násilí jiného dítěte, ubližování, ponižování apod.</w:t>
            </w:r>
          </w:p>
        </w:tc>
      </w:tr>
      <w:tr>
        <w:tblPrEx>
          <w:tblW w:w="5000" w:type="pct"/>
          <w:tblInd w:w="0" w:type="dxa"/>
          <w:tblCellMar>
            <w:top w:w="0" w:type="dxa"/>
            <w:left w:w="15" w:type="dxa"/>
            <w:bottom w:w="0" w:type="dxa"/>
            <w:right w:w="15" w:type="dxa"/>
          </w:tblCellMar>
        </w:tblPrEx>
        <w:tc>
          <w:tcPr>
            <w:tcW w:w="1650" w:type="pct"/>
            <w:vMerge/>
            <w:tcBorders>
              <w:top w:val="inset" w:sz="6" w:space="0" w:color="808080"/>
              <w:left w:val="inset" w:sz="6" w:space="0" w:color="808080"/>
              <w:bottom w:val="inset" w:sz="6" w:space="0" w:color="808080"/>
              <w:right w:val="inset" w:sz="6" w:space="0" w:color="808080"/>
            </w:tcBorders>
          </w:tcPr>
          <w:p>
            <w:pPr>
              <w:spacing w:line="312" w:lineRule="auto"/>
              <w:jc w:val="both"/>
              <w:rPr>
                <w:rStyle w:val="DefaultParagraphFont"/>
                <w:rFonts w:asciiTheme="minorHAnsi" w:eastAsiaTheme="minorEastAsia" w:hAnsiTheme="minorHAnsi"/>
                <w:sz w:val="22"/>
              </w:rPr>
            </w:pPr>
          </w:p>
        </w:tc>
        <w:tc>
          <w:tcPr>
            <w:vMerge/>
            <w:tcBorders>
              <w:top w:val="inset" w:sz="6" w:space="0" w:color="808080"/>
              <w:left w:val="inset" w:sz="6" w:space="0" w:color="808080"/>
              <w:bottom w:val="inset" w:sz="6" w:space="0" w:color="808080"/>
              <w:right w:val="inset" w:sz="6" w:space="0" w:color="808080"/>
            </w:tcBorders>
          </w:tcPr>
          <w:p>
            <w:pPr>
              <w:spacing w:before="0" w:beforeAutospacing="0" w:after="0" w:afterAutospacing="0" w:line="240" w:lineRule="auto"/>
              <w:jc w:val="both"/>
              <w:rPr>
                <w:rStyle w:val="DefaultParagraphFont"/>
                <w:rFonts w:asciiTheme="minorHAnsi" w:eastAsiaTheme="minorEastAsia" w:hAnsiTheme="minorHAnsi"/>
                <w:sz w:val="22"/>
                <w:bdr w:val="nil"/>
                <w:rtl w:val="0"/>
              </w:rPr>
            </w:pP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dodržovat dohodnutá a pochopená pravidla vzájemného soužití a chování doma, v mateřské škole, na veřejnosti, dodržovat herní pravidla</w:t>
            </w:r>
          </w:p>
        </w:tc>
      </w:tr>
      <w:tr>
        <w:tblPrEx>
          <w:tblW w:w="5000" w:type="pct"/>
          <w:tblInd w:w="0" w:type="dxa"/>
          <w:tblCellMar>
            <w:top w:w="0" w:type="dxa"/>
            <w:left w:w="15" w:type="dxa"/>
            <w:bottom w:w="0" w:type="dxa"/>
            <w:right w:w="15" w:type="dxa"/>
          </w:tblCellMar>
        </w:tblPrEx>
        <w:tc>
          <w:tcPr>
            <w:tcW w:w="1650" w:type="pct"/>
            <w:vMerge/>
            <w:tcBorders>
              <w:top w:val="inset" w:sz="6" w:space="0" w:color="808080"/>
              <w:left w:val="inset" w:sz="6" w:space="0" w:color="808080"/>
              <w:bottom w:val="inset" w:sz="6" w:space="0" w:color="808080"/>
              <w:right w:val="inset" w:sz="6" w:space="0" w:color="808080"/>
            </w:tcBorders>
          </w:tcPr>
          <w:p>
            <w:pPr>
              <w:spacing w:line="312" w:lineRule="auto"/>
              <w:jc w:val="both"/>
              <w:rPr>
                <w:rStyle w:val="DefaultParagraphFont"/>
                <w:rFonts w:asciiTheme="minorHAnsi" w:eastAsiaTheme="minorEastAsia" w:hAnsiTheme="minorHAnsi"/>
                <w:sz w:val="22"/>
              </w:rPr>
            </w:pPr>
          </w:p>
        </w:tc>
        <w:tc>
          <w:tcPr>
            <w:vMerge/>
            <w:tcBorders>
              <w:top w:val="inset" w:sz="6" w:space="0" w:color="808080"/>
              <w:left w:val="inset" w:sz="6" w:space="0" w:color="808080"/>
              <w:bottom w:val="inset" w:sz="6" w:space="0" w:color="808080"/>
              <w:right w:val="inset" w:sz="6" w:space="0" w:color="808080"/>
            </w:tcBorders>
          </w:tcPr>
          <w:p>
            <w:pPr>
              <w:spacing w:before="0" w:beforeAutospacing="0" w:after="0" w:afterAutospacing="0" w:line="240" w:lineRule="auto"/>
              <w:jc w:val="both"/>
              <w:rPr>
                <w:rStyle w:val="DefaultParagraphFont"/>
                <w:rFonts w:asciiTheme="minorHAnsi" w:eastAsiaTheme="minorEastAsia" w:hAnsiTheme="minorHAnsi"/>
                <w:sz w:val="22"/>
                <w:bdr w:val="nil"/>
                <w:rtl w:val="0"/>
              </w:rPr>
            </w:pP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uvědomovat si svá práva ve vztahu k druhému, přiznávat stejná práva druhým a respektovat je</w:t>
            </w:r>
          </w:p>
        </w:tc>
      </w:tr>
      <w:tr>
        <w:tblPrEx>
          <w:tblW w:w="5000" w:type="pct"/>
          <w:tblInd w:w="0" w:type="dxa"/>
          <w:tblCellMar>
            <w:top w:w="0" w:type="dxa"/>
            <w:left w:w="15" w:type="dxa"/>
            <w:bottom w:w="0" w:type="dxa"/>
            <w:right w:w="15" w:type="dxa"/>
          </w:tblCellMar>
        </w:tblPrEx>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se dokáže ve skupině prosadit, ale i podřídit, při společných činnostech se domlouvá a spolupracuje; v běžných situacích uplatňuje základní společenské návyky a pravidla společenského styku; je schopné respektovat druhé, vyjednávat, přijímat a uzavírat kompromisy</w:t>
            </w:r>
          </w:p>
        </w:tc>
        <w:tc>
          <w:tcPr>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poznávání pravidel společenského soužití a jejich spoluvytváření v rámci přirozeného sociokulturního prostředí, porozumění základním projevům neverbální komunikace obvyklým v tomto prostředí</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dodržovat pravidla her a jiných činností, jednat spravedlivě, hrát fair</w:t>
            </w:r>
          </w:p>
        </w:tc>
      </w:tr>
      <w:tr>
        <w:tblPrEx>
          <w:tblW w:w="5000" w:type="pct"/>
          <w:tblInd w:w="0" w:type="dxa"/>
          <w:tblCellMar>
            <w:top w:w="0" w:type="dxa"/>
            <w:left w:w="15" w:type="dxa"/>
            <w:bottom w:w="0" w:type="dxa"/>
            <w:right w:w="15" w:type="dxa"/>
          </w:tblCellMar>
        </w:tblPrEx>
        <w:tc>
          <w:tcPr>
            <w:tcW w:w="1650" w:type="pct"/>
            <w:vMerge/>
            <w:tcBorders>
              <w:top w:val="inset" w:sz="6" w:space="0" w:color="808080"/>
              <w:left w:val="inset" w:sz="6" w:space="0" w:color="808080"/>
              <w:bottom w:val="inset" w:sz="6" w:space="0" w:color="808080"/>
              <w:right w:val="inset" w:sz="6" w:space="0" w:color="808080"/>
            </w:tcBorders>
          </w:tcPr>
          <w:p>
            <w:pPr>
              <w:spacing w:line="312" w:lineRule="auto"/>
              <w:jc w:val="both"/>
              <w:rPr>
                <w:rStyle w:val="DefaultParagraphFont"/>
                <w:rFonts w:asciiTheme="minorHAnsi" w:eastAsiaTheme="minorEastAsia" w:hAnsiTheme="minorHAnsi"/>
                <w:sz w:val="22"/>
              </w:rPr>
            </w:pPr>
          </w:p>
        </w:tc>
        <w:tc>
          <w:tcPr>
            <w:vMerge/>
            <w:tcBorders>
              <w:top w:val="inset" w:sz="6" w:space="0" w:color="808080"/>
              <w:left w:val="inset" w:sz="6" w:space="0" w:color="808080"/>
              <w:bottom w:val="inset" w:sz="6" w:space="0" w:color="808080"/>
              <w:right w:val="inset" w:sz="6" w:space="0" w:color="808080"/>
            </w:tcBorders>
          </w:tcPr>
          <w:p>
            <w:pPr>
              <w:spacing w:before="0" w:beforeAutospacing="0" w:after="0" w:afterAutospacing="0" w:line="240" w:lineRule="auto"/>
              <w:jc w:val="both"/>
              <w:rPr>
                <w:rStyle w:val="DefaultParagraphFont"/>
                <w:rFonts w:asciiTheme="minorHAnsi" w:eastAsiaTheme="minorEastAsia" w:hAnsiTheme="minorHAnsi"/>
                <w:sz w:val="22"/>
                <w:bdr w:val="nil"/>
                <w:rtl w:val="0"/>
              </w:rPr>
            </w:pP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utvořit si základní dětskou představu o pravidlech chování a společenských normách, co je v souladu s nimi a co proti nim a ve vývojově odpovídajících situacích se podle této představy chovat (doma, v mateřské škole i na veřejnosti)</w:t>
            </w:r>
          </w:p>
        </w:tc>
      </w:tr>
      <w:tr>
        <w:tblPrEx>
          <w:tblW w:w="5000" w:type="pct"/>
          <w:tblInd w:w="0" w:type="dxa"/>
          <w:tblCellMar>
            <w:top w:w="0" w:type="dxa"/>
            <w:left w:w="15" w:type="dxa"/>
            <w:bottom w:w="0" w:type="dxa"/>
            <w:right w:w="15" w:type="dxa"/>
          </w:tblCellMar>
        </w:tblPrEx>
        <w:tc>
          <w:tcPr>
            <w:tcW w:w="1650" w:type="pct"/>
            <w:vMerge/>
            <w:tcBorders>
              <w:top w:val="inset" w:sz="6" w:space="0" w:color="808080"/>
              <w:left w:val="inset" w:sz="6" w:space="0" w:color="808080"/>
              <w:bottom w:val="inset" w:sz="6" w:space="0" w:color="808080"/>
              <w:right w:val="inset" w:sz="6" w:space="0" w:color="808080"/>
            </w:tcBorders>
          </w:tcPr>
          <w:p>
            <w:pPr>
              <w:spacing w:line="312" w:lineRule="auto"/>
              <w:jc w:val="both"/>
              <w:rPr>
                <w:rStyle w:val="DefaultParagraphFont"/>
                <w:rFonts w:asciiTheme="minorHAnsi" w:eastAsiaTheme="minorEastAsia" w:hAnsiTheme="minorHAnsi"/>
                <w:sz w:val="22"/>
              </w:rPr>
            </w:pPr>
          </w:p>
        </w:tc>
        <w:tc>
          <w:tcPr>
            <w:vMerge/>
            <w:tcBorders>
              <w:top w:val="inset" w:sz="6" w:space="0" w:color="808080"/>
              <w:left w:val="inset" w:sz="6" w:space="0" w:color="808080"/>
              <w:bottom w:val="inset" w:sz="6" w:space="0" w:color="808080"/>
              <w:right w:val="inset" w:sz="6" w:space="0" w:color="808080"/>
            </w:tcBorders>
          </w:tcPr>
          <w:p>
            <w:pPr>
              <w:spacing w:before="0" w:beforeAutospacing="0" w:after="0" w:afterAutospacing="0" w:line="240" w:lineRule="auto"/>
              <w:jc w:val="both"/>
              <w:rPr>
                <w:rStyle w:val="DefaultParagraphFont"/>
                <w:rFonts w:asciiTheme="minorHAnsi" w:eastAsiaTheme="minorEastAsia" w:hAnsiTheme="minorHAnsi"/>
                <w:sz w:val="22"/>
                <w:bdr w:val="nil"/>
                <w:rtl w:val="0"/>
              </w:rPr>
            </w:pP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začlenit se do třídy a zařadit se mezi své vrstevníky, respektovat jejich rozdílné vlastnosti, schopnosti a dovednosti</w:t>
            </w:r>
          </w:p>
        </w:tc>
      </w:tr>
      <w:tr>
        <w:tblPrEx>
          <w:tblW w:w="5000" w:type="pct"/>
          <w:tblInd w:w="0" w:type="dxa"/>
          <w:tblCellMar>
            <w:top w:w="0" w:type="dxa"/>
            <w:left w:w="15" w:type="dxa"/>
            <w:bottom w:w="0" w:type="dxa"/>
            <w:right w:w="15" w:type="dxa"/>
          </w:tblCellMar>
        </w:tblPrEx>
        <w:tc>
          <w:tcPr>
            <w:tcW w:w="1650" w:type="pct"/>
            <w:vMerge/>
            <w:tcBorders>
              <w:top w:val="inset" w:sz="6" w:space="0" w:color="808080"/>
              <w:left w:val="inset" w:sz="6" w:space="0" w:color="808080"/>
              <w:bottom w:val="inset" w:sz="6" w:space="0" w:color="808080"/>
              <w:right w:val="inset" w:sz="6" w:space="0" w:color="808080"/>
            </w:tcBorders>
          </w:tcPr>
          <w:p>
            <w:pPr>
              <w:spacing w:line="312" w:lineRule="auto"/>
              <w:jc w:val="both"/>
              <w:rPr>
                <w:rStyle w:val="DefaultParagraphFont"/>
                <w:rFonts w:asciiTheme="minorHAnsi" w:eastAsiaTheme="minorEastAsia" w:hAnsiTheme="minorHAnsi"/>
                <w:sz w:val="22"/>
              </w:rPr>
            </w:pPr>
          </w:p>
        </w:tc>
        <w:tc>
          <w:tcPr>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rozvoj schopnosti žít ve společenství ostatních lidí (spolupracovat, spolupodílet se), přináležet k tomuto společenství (ke třídě, k rodině, k ostatním dětem) a vnímat a přijímat základní hodnoty v tomto společenství uznávané</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zacházet šetrně s vlastními i cizími pomůckami, hračkami, věcmi denní potřeby, s knížkami, s penězi apod.</w:t>
            </w:r>
          </w:p>
        </w:tc>
      </w:tr>
      <w:tr>
        <w:tblPrEx>
          <w:tblW w:w="5000" w:type="pct"/>
          <w:tblInd w:w="0" w:type="dxa"/>
          <w:tblCellMar>
            <w:top w:w="0" w:type="dxa"/>
            <w:left w:w="15" w:type="dxa"/>
            <w:bottom w:w="0" w:type="dxa"/>
            <w:right w:w="15" w:type="dxa"/>
          </w:tblCellMar>
        </w:tblPrEx>
        <w:tc>
          <w:tcPr>
            <w:tcW w:w="1650" w:type="pct"/>
            <w:vMerge/>
            <w:tcBorders>
              <w:top w:val="inset" w:sz="6" w:space="0" w:color="808080"/>
              <w:left w:val="inset" w:sz="6" w:space="0" w:color="808080"/>
              <w:bottom w:val="inset" w:sz="6" w:space="0" w:color="808080"/>
              <w:right w:val="inset" w:sz="6" w:space="0" w:color="808080"/>
            </w:tcBorders>
          </w:tcPr>
          <w:p>
            <w:pPr>
              <w:spacing w:line="312" w:lineRule="auto"/>
              <w:jc w:val="both"/>
              <w:rPr>
                <w:rStyle w:val="DefaultParagraphFont"/>
                <w:rFonts w:asciiTheme="minorHAnsi" w:eastAsiaTheme="minorEastAsia" w:hAnsiTheme="minorHAnsi"/>
                <w:sz w:val="22"/>
              </w:rPr>
            </w:pPr>
          </w:p>
        </w:tc>
        <w:tc>
          <w:tcPr>
            <w:vMerge/>
            <w:tcBorders>
              <w:top w:val="inset" w:sz="6" w:space="0" w:color="808080"/>
              <w:left w:val="inset" w:sz="6" w:space="0" w:color="808080"/>
              <w:bottom w:val="inset" w:sz="6" w:space="0" w:color="808080"/>
              <w:right w:val="inset" w:sz="6" w:space="0" w:color="808080"/>
            </w:tcBorders>
          </w:tcPr>
          <w:p>
            <w:pPr>
              <w:spacing w:before="0" w:beforeAutospacing="0" w:after="0" w:afterAutospacing="0" w:line="240" w:lineRule="auto"/>
              <w:jc w:val="both"/>
              <w:rPr>
                <w:rStyle w:val="DefaultParagraphFont"/>
                <w:rFonts w:asciiTheme="minorHAnsi" w:eastAsiaTheme="minorEastAsia" w:hAnsiTheme="minorHAnsi"/>
                <w:sz w:val="22"/>
                <w:bdr w:val="nil"/>
                <w:rtl w:val="0"/>
              </w:rPr>
            </w:pP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adaptovat se na život ve škole, aktivně zvládat požadavky plynoucí z prostředí školy i jeho běžných proměn (vnímat základní pravidla jednání ve skupině, podílet se na nich a řídit se jimi, podřídit se rozhodnutí skupiny, přizpůsobit se společnému programu, spolupracovat, přijímat autoritu) a spoluvytvářet v tomto společenství prostředí pohody</w:t>
            </w:r>
          </w:p>
        </w:tc>
      </w:tr>
      <w:tr>
        <w:tblPrEx>
          <w:tblW w:w="5000" w:type="pct"/>
          <w:tblInd w:w="0" w:type="dxa"/>
          <w:tblCellMar>
            <w:top w:w="0" w:type="dxa"/>
            <w:left w:w="15" w:type="dxa"/>
            <w:bottom w:w="0" w:type="dxa"/>
            <w:right w:w="15" w:type="dxa"/>
          </w:tblCellMar>
        </w:tblPrEx>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chápe, že se může o tom, co udělá, rozhodovat svobodně, ale že za svá rozhodnutí také odpovídá</w:t>
            </w:r>
          </w:p>
        </w:tc>
        <w:tc>
          <w:tcPr>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získání relativní citové samostatnosti</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respektovat předem vyjasněná a pochopená pravidla, přijímat vyjasněné a zdůvodněné povinnosti</w:t>
            </w:r>
          </w:p>
        </w:tc>
      </w:tr>
      <w:tr>
        <w:tblPrEx>
          <w:tblW w:w="5000" w:type="pct"/>
          <w:tblInd w:w="0" w:type="dxa"/>
          <w:tblCellMar>
            <w:top w:w="0" w:type="dxa"/>
            <w:left w:w="15" w:type="dxa"/>
            <w:bottom w:w="0" w:type="dxa"/>
            <w:right w:w="15" w:type="dxa"/>
          </w:tblCellMar>
        </w:tblPrEx>
        <w:tc>
          <w:tcPr>
            <w:tcW w:w="1650" w:type="pct"/>
            <w:vMerge/>
            <w:tcBorders>
              <w:top w:val="inset" w:sz="6" w:space="0" w:color="808080"/>
              <w:left w:val="inset" w:sz="6" w:space="0" w:color="808080"/>
              <w:bottom w:val="inset" w:sz="6" w:space="0" w:color="808080"/>
              <w:right w:val="inset" w:sz="6" w:space="0" w:color="808080"/>
            </w:tcBorders>
          </w:tcPr>
          <w:p>
            <w:pPr>
              <w:spacing w:line="312" w:lineRule="auto"/>
              <w:jc w:val="both"/>
              <w:rPr>
                <w:rStyle w:val="DefaultParagraphFont"/>
                <w:rFonts w:asciiTheme="minorHAnsi" w:eastAsiaTheme="minorEastAsia" w:hAnsiTheme="minorHAnsi"/>
                <w:sz w:val="22"/>
              </w:rPr>
            </w:pPr>
          </w:p>
        </w:tc>
        <w:tc>
          <w:tcPr>
            <w:vMerge/>
            <w:tcBorders>
              <w:top w:val="inset" w:sz="6" w:space="0" w:color="808080"/>
              <w:left w:val="inset" w:sz="6" w:space="0" w:color="808080"/>
              <w:bottom w:val="inset" w:sz="6" w:space="0" w:color="808080"/>
              <w:right w:val="inset" w:sz="6" w:space="0" w:color="808080"/>
            </w:tcBorders>
          </w:tcPr>
          <w:p>
            <w:pPr>
              <w:spacing w:before="0" w:beforeAutospacing="0" w:after="0" w:afterAutospacing="0" w:line="240" w:lineRule="auto"/>
              <w:jc w:val="both"/>
              <w:rPr>
                <w:rStyle w:val="DefaultParagraphFont"/>
                <w:rFonts w:asciiTheme="minorHAnsi" w:eastAsiaTheme="minorEastAsia" w:hAnsiTheme="minorHAnsi"/>
                <w:sz w:val="22"/>
                <w:bdr w:val="nil"/>
                <w:rtl w:val="0"/>
              </w:rPr>
            </w:pP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odloučit se na určitou dobu od rodičů a blízkých, být aktivní i bez jejich opory</w:t>
            </w:r>
          </w:p>
        </w:tc>
      </w:tr>
      <w:tr>
        <w:tblPrEx>
          <w:tblW w:w="5000" w:type="pct"/>
          <w:tblInd w:w="0" w:type="dxa"/>
          <w:tblCellMar>
            <w:top w:w="0" w:type="dxa"/>
            <w:left w:w="15" w:type="dxa"/>
            <w:bottom w:w="0" w:type="dxa"/>
            <w:right w:w="15" w:type="dxa"/>
          </w:tblCellMar>
        </w:tblPrEx>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se spolupodílí na společných rozhodnutích; přijímá vyjasněné a zdůvodněné povinnosti; dodržuje dohodnutá a pochopená pravidla a přizpůsobuje se jim</w:t>
            </w:r>
          </w:p>
        </w:tc>
        <w:tc>
          <w:tcPr>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osvojení si věku přiměřených praktických dovedností</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zacházet s běžnými předměty denní potřeby, hračkami, pomůckami, drobnými nástroji, sportovním náčiním a nářadím, výtvarnými pomůckami a materiály, jednoduchými hudebními nástroji, běžnými pracovními pomůckami</w:t>
            </w:r>
          </w:p>
        </w:tc>
      </w:tr>
      <w:tr>
        <w:tblPrEx>
          <w:tblW w:w="5000" w:type="pct"/>
          <w:tblInd w:w="0" w:type="dxa"/>
          <w:tblCellMar>
            <w:top w:w="0" w:type="dxa"/>
            <w:left w:w="15" w:type="dxa"/>
            <w:bottom w:w="0" w:type="dxa"/>
            <w:right w:w="15" w:type="dxa"/>
          </w:tblCellMar>
        </w:tblPrEx>
        <w:tc>
          <w:tcPr>
            <w:tcW w:w="1650" w:type="pct"/>
            <w:vMerge/>
            <w:tcBorders>
              <w:top w:val="inset" w:sz="6" w:space="0" w:color="808080"/>
              <w:left w:val="inset" w:sz="6" w:space="0" w:color="808080"/>
              <w:bottom w:val="inset" w:sz="6" w:space="0" w:color="808080"/>
              <w:right w:val="inset" w:sz="6" w:space="0" w:color="808080"/>
            </w:tcBorders>
          </w:tcPr>
          <w:p>
            <w:pPr>
              <w:spacing w:line="312" w:lineRule="auto"/>
              <w:jc w:val="both"/>
              <w:rPr>
                <w:rStyle w:val="DefaultParagraphFont"/>
                <w:rFonts w:asciiTheme="minorHAnsi" w:eastAsiaTheme="minorEastAsia" w:hAnsiTheme="minorHAnsi"/>
                <w:sz w:val="22"/>
              </w:rPr>
            </w:pPr>
          </w:p>
        </w:tc>
        <w:tc>
          <w:tcPr>
            <w:vMerge/>
            <w:tcBorders>
              <w:top w:val="inset" w:sz="6" w:space="0" w:color="808080"/>
              <w:left w:val="inset" w:sz="6" w:space="0" w:color="808080"/>
              <w:bottom w:val="inset" w:sz="6" w:space="0" w:color="808080"/>
              <w:right w:val="inset" w:sz="6" w:space="0" w:color="808080"/>
            </w:tcBorders>
          </w:tcPr>
          <w:p>
            <w:pPr>
              <w:spacing w:before="0" w:beforeAutospacing="0" w:after="0" w:afterAutospacing="0" w:line="240" w:lineRule="auto"/>
              <w:jc w:val="both"/>
              <w:rPr>
                <w:rStyle w:val="DefaultParagraphFont"/>
                <w:rFonts w:asciiTheme="minorHAnsi" w:eastAsiaTheme="minorEastAsia" w:hAnsiTheme="minorHAnsi"/>
                <w:sz w:val="22"/>
                <w:bdr w:val="nil"/>
                <w:rtl w:val="0"/>
              </w:rPr>
            </w:pP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zachovávat správné držení těla</w:t>
            </w:r>
          </w:p>
        </w:tc>
      </w:tr>
      <w:tr>
        <w:tblPrEx>
          <w:tblW w:w="5000" w:type="pct"/>
          <w:tblInd w:w="0" w:type="dxa"/>
          <w:tblCellMar>
            <w:top w:w="0" w:type="dxa"/>
            <w:left w:w="15" w:type="dxa"/>
            <w:bottom w:w="0" w:type="dxa"/>
            <w:right w:w="15" w:type="dxa"/>
          </w:tblCellMar>
        </w:tblPrEx>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chápe, že nespravedlnost, ubližování, ponižování, lhostejnost, agresivita a násilí se nevyplácí a že vzniklé konflikty je lépe řešit dohodou; dokáže se bránit projevům násilí jiného dítěte, ponižování a ubližování</w:t>
            </w:r>
          </w:p>
        </w:tc>
        <w:tc>
          <w:tcPr>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vytváření zdravých životních návyků a postojů jako základů zdravého životního stylu</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zvládat jednoduchou obsluhu a pracovní úkony (postarat se o hračky, pomůcky, uklidit po sobě, udržovat pořádek, zvládat jednoduché úklidové práce, práce na zahradě apod.)</w:t>
            </w:r>
          </w:p>
        </w:tc>
      </w:tr>
      <w:tr>
        <w:tblPrEx>
          <w:tblW w:w="5000" w:type="pct"/>
          <w:tblInd w:w="0" w:type="dxa"/>
          <w:tblCellMar>
            <w:top w:w="0" w:type="dxa"/>
            <w:left w:w="15" w:type="dxa"/>
            <w:bottom w:w="0" w:type="dxa"/>
            <w:right w:w="15" w:type="dxa"/>
          </w:tblCellMar>
        </w:tblPrEx>
        <w:tc>
          <w:tcPr>
            <w:tcW w:w="1650" w:type="pct"/>
            <w:vMerge/>
            <w:tcBorders>
              <w:top w:val="inset" w:sz="6" w:space="0" w:color="808080"/>
              <w:left w:val="inset" w:sz="6" w:space="0" w:color="808080"/>
              <w:bottom w:val="inset" w:sz="6" w:space="0" w:color="808080"/>
              <w:right w:val="inset" w:sz="6" w:space="0" w:color="808080"/>
            </w:tcBorders>
          </w:tcPr>
          <w:p>
            <w:pPr>
              <w:spacing w:line="312" w:lineRule="auto"/>
              <w:jc w:val="both"/>
              <w:rPr>
                <w:rStyle w:val="DefaultParagraphFont"/>
                <w:rFonts w:asciiTheme="minorHAnsi" w:eastAsiaTheme="minorEastAsia" w:hAnsiTheme="minorHAnsi"/>
                <w:sz w:val="22"/>
              </w:rPr>
            </w:pPr>
          </w:p>
        </w:tc>
        <w:tc>
          <w:tcPr>
            <w:vMerge/>
            <w:tcBorders>
              <w:top w:val="inset" w:sz="6" w:space="0" w:color="808080"/>
              <w:left w:val="inset" w:sz="6" w:space="0" w:color="808080"/>
              <w:bottom w:val="inset" w:sz="6" w:space="0" w:color="808080"/>
              <w:right w:val="inset" w:sz="6" w:space="0" w:color="808080"/>
            </w:tcBorders>
          </w:tcPr>
          <w:p>
            <w:pPr>
              <w:spacing w:before="0" w:beforeAutospacing="0" w:after="0" w:afterAutospacing="0" w:line="240" w:lineRule="auto"/>
              <w:jc w:val="both"/>
              <w:rPr>
                <w:rStyle w:val="DefaultParagraphFont"/>
                <w:rFonts w:asciiTheme="minorHAnsi" w:eastAsiaTheme="minorEastAsia" w:hAnsiTheme="minorHAnsi"/>
                <w:sz w:val="22"/>
                <w:bdr w:val="nil"/>
                <w:rtl w:val="0"/>
              </w:rPr>
            </w:pP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zvládnout sebeobsluhu, uplatňovat základní kulturně hygienické a zdravotně preventivní návyky (starat se o osobní hygienu, přijímat stravu a tekutinu, umět stolovat, postarat se o sebe a své osobní věci, oblékat se, svlékat, obouvat apod.)</w:t>
            </w:r>
          </w:p>
        </w:tc>
      </w:tr>
      <w:tr>
        <w:tblPrEx>
          <w:tblW w:w="5000" w:type="pct"/>
          <w:tblInd w:w="0" w:type="dxa"/>
          <w:tblCellMar>
            <w:top w:w="0" w:type="dxa"/>
            <w:left w:w="15" w:type="dxa"/>
            <w:bottom w:w="0" w:type="dxa"/>
            <w:right w:w="15" w:type="dxa"/>
          </w:tblCellMar>
        </w:tblPrEx>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spoluvytváří pravidla společného soužití mezi vrstevníky, rozumí jejich smyslu a chápe potřebu je zachovávat</w:t>
            </w:r>
          </w:p>
        </w:tc>
        <w:tc>
          <w:tcPr>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rozvoj komunikativních dovedností (verbálních i neverbálních) a kultivovaného projevu</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poznat a vymyslet jednoduchá synonyma, homonyma a antonyma</w:t>
            </w:r>
          </w:p>
        </w:tc>
      </w:tr>
      <w:tr>
        <w:tblPrEx>
          <w:tblW w:w="5000" w:type="pct"/>
          <w:tblInd w:w="0" w:type="dxa"/>
          <w:tblCellMar>
            <w:top w:w="0" w:type="dxa"/>
            <w:left w:w="15" w:type="dxa"/>
            <w:bottom w:w="0" w:type="dxa"/>
            <w:right w:w="15" w:type="dxa"/>
          </w:tblCellMar>
        </w:tblPrEx>
        <w:tc>
          <w:tcPr>
            <w:tcW w:w="1650" w:type="pct"/>
            <w:vMerge/>
            <w:tcBorders>
              <w:top w:val="inset" w:sz="6" w:space="0" w:color="808080"/>
              <w:left w:val="inset" w:sz="6" w:space="0" w:color="808080"/>
              <w:bottom w:val="inset" w:sz="6" w:space="0" w:color="808080"/>
              <w:right w:val="inset" w:sz="6" w:space="0" w:color="808080"/>
            </w:tcBorders>
          </w:tcPr>
          <w:p>
            <w:pPr>
              <w:spacing w:line="312" w:lineRule="auto"/>
              <w:jc w:val="both"/>
              <w:rPr>
                <w:rStyle w:val="DefaultParagraphFont"/>
                <w:rFonts w:asciiTheme="minorHAnsi" w:eastAsiaTheme="minorEastAsia" w:hAnsiTheme="minorHAnsi"/>
                <w:sz w:val="22"/>
              </w:rPr>
            </w:pPr>
          </w:p>
        </w:tc>
        <w:tc>
          <w:tcPr>
            <w:vMerge/>
            <w:tcBorders>
              <w:top w:val="inset" w:sz="6" w:space="0" w:color="808080"/>
              <w:left w:val="inset" w:sz="6" w:space="0" w:color="808080"/>
              <w:bottom w:val="inset" w:sz="6" w:space="0" w:color="808080"/>
              <w:right w:val="inset" w:sz="6" w:space="0" w:color="808080"/>
            </w:tcBorders>
          </w:tcPr>
          <w:p>
            <w:pPr>
              <w:spacing w:before="0" w:beforeAutospacing="0" w:after="0" w:afterAutospacing="0" w:line="240" w:lineRule="auto"/>
              <w:jc w:val="both"/>
              <w:rPr>
                <w:rStyle w:val="DefaultParagraphFont"/>
                <w:rFonts w:asciiTheme="minorHAnsi" w:eastAsiaTheme="minorEastAsia" w:hAnsiTheme="minorHAnsi"/>
                <w:sz w:val="22"/>
                <w:bdr w:val="nil"/>
                <w:rtl w:val="0"/>
              </w:rPr>
            </w:pP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utvořit jednoduchý rým</w:t>
            </w:r>
          </w:p>
        </w:tc>
      </w:tr>
      <w:tr>
        <w:tblPrEx>
          <w:tblW w:w="5000" w:type="pct"/>
          <w:tblInd w:w="0" w:type="dxa"/>
          <w:tblCellMar>
            <w:top w:w="0" w:type="dxa"/>
            <w:left w:w="15" w:type="dxa"/>
            <w:bottom w:w="0" w:type="dxa"/>
            <w:right w:w="15" w:type="dxa"/>
          </w:tblCellMar>
        </w:tblPrEx>
        <w:tc>
          <w:tcPr>
            <w:tcW w:w="1650" w:type="pct"/>
            <w:vMerge/>
            <w:tcBorders>
              <w:top w:val="inset" w:sz="6" w:space="0" w:color="808080"/>
              <w:left w:val="inset" w:sz="6" w:space="0" w:color="808080"/>
              <w:bottom w:val="inset" w:sz="6" w:space="0" w:color="808080"/>
              <w:right w:val="inset" w:sz="6" w:space="0" w:color="808080"/>
            </w:tcBorders>
          </w:tcPr>
          <w:p>
            <w:pPr>
              <w:spacing w:line="312" w:lineRule="auto"/>
              <w:jc w:val="both"/>
              <w:rPr>
                <w:rStyle w:val="DefaultParagraphFont"/>
                <w:rFonts w:asciiTheme="minorHAnsi" w:eastAsiaTheme="minorEastAsia" w:hAnsiTheme="minorHAnsi"/>
                <w:sz w:val="22"/>
              </w:rPr>
            </w:pPr>
          </w:p>
        </w:tc>
        <w:tc>
          <w:tcPr>
            <w:vMerge/>
            <w:tcBorders>
              <w:top w:val="inset" w:sz="6" w:space="0" w:color="808080"/>
              <w:left w:val="inset" w:sz="6" w:space="0" w:color="808080"/>
              <w:bottom w:val="inset" w:sz="6" w:space="0" w:color="808080"/>
              <w:right w:val="inset" w:sz="6" w:space="0" w:color="808080"/>
            </w:tcBorders>
          </w:tcPr>
          <w:p>
            <w:pPr>
              <w:spacing w:before="0" w:beforeAutospacing="0" w:after="0" w:afterAutospacing="0" w:line="240" w:lineRule="auto"/>
              <w:jc w:val="both"/>
              <w:rPr>
                <w:rStyle w:val="DefaultParagraphFont"/>
                <w:rFonts w:asciiTheme="minorHAnsi" w:eastAsiaTheme="minorEastAsia" w:hAnsiTheme="minorHAnsi"/>
                <w:sz w:val="22"/>
                <w:bdr w:val="nil"/>
                <w:rtl w:val="0"/>
              </w:rPr>
            </w:pP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pojmenovat většinu toho, čím je obklopeno</w:t>
            </w:r>
          </w:p>
        </w:tc>
      </w:tr>
    </w:tbl>
    <w:p>
      <w:pPr>
        <w:bidi w:val="0"/>
        <w:rPr>
          <w:rStyle w:val="DefaultParagraphFont"/>
          <w:bdr w:val="nil"/>
          <w:rtl w:val="0"/>
        </w:rPr>
      </w:pPr>
      <w:r>
        <w:rPr>
          <w:rStyle w:val="DefaultParagraphFont"/>
          <w:bdr w:val="nil"/>
          <w:rtl w:val="0"/>
        </w:rPr>
        <w:t>    </w:t>
      </w:r>
    </w:p>
    <w:p>
      <w:pPr>
        <w:pStyle w:val="Heading4"/>
        <w:bidi w:val="0"/>
        <w:spacing w:before="319" w:after="319"/>
        <w:rPr>
          <w:rStyle w:val="DefaultParagraphFont"/>
          <w:bdr w:val="nil"/>
          <w:rtl w:val="0"/>
        </w:rPr>
      </w:pPr>
      <w:r>
        <w:rPr>
          <w:rStyle w:val="DefaultParagraphFont"/>
          <w:b/>
          <w:bCs/>
          <w:sz w:val="24"/>
          <w:szCs w:val="24"/>
          <w:bdr w:val="nil"/>
          <w:rtl w:val="0"/>
        </w:rPr>
        <w:t>b) Adventní čas </w:t>
      </w:r>
    </w:p>
    <w:tbl>
      <w:tblPr>
        <w:tblStyle w:val="TabulkaIB"/>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5" w:type="dxa"/>
          <w:bottom w:w="0" w:type="dxa"/>
          <w:right w:w="15" w:type="dxa"/>
        </w:tblCellMar>
      </w:tblPr>
      <w:tblGrid>
        <w:gridCol w:w="4525"/>
        <w:gridCol w:w="9188"/>
      </w:tblGrid>
      <w:tr>
        <w:tblPrEx>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5" w:type="dxa"/>
            <w:bottom w:w="0" w:type="dxa"/>
            <w:right w:w="15" w:type="dxa"/>
          </w:tblCellMar>
        </w:tblPrEx>
        <w:trPr>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Název integrovaného bloku</w:t>
            </w:r>
          </w:p>
        </w:tc>
        <w:tc>
          <w:tcPr>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center"/>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b) Adventní čas</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pPr>
              <w:shd w:val="clear" w:color="auto" w:fill="DEEAF6"/>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Oblast</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Dítě a svět, Dítě a společnost, Dítě a ten druhý, Dítě a jeho psychika, Dítě a jeho tělo</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pPr>
              <w:shd w:val="clear" w:color="auto" w:fill="DEEAF6"/>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Charakteristika integrovaného bloku</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Děti se aktivně podílejí na adventních přípravách, chystají besídky pro rodiče, společně zdobí třídy, pozvají adventní zvyky a tradice. Jsou posilovány vztahy v rodině i v mateřské škole.</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pPr>
              <w:shd w:val="clear" w:color="auto" w:fill="DEEAF6"/>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Návrhy dílčích témat pro realizaci</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vánoce</w:t>
            </w:r>
          </w:p>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 </w:t>
            </w:r>
          </w:p>
        </w:tc>
      </w:tr>
    </w:tbl>
    <w:p>
      <w:pPr>
        <w:bidi w:val="0"/>
        <w:rPr>
          <w:rStyle w:val="DefaultParagraphFont"/>
          <w:bdr w:val="nil"/>
          <w:rtl w:val="0"/>
        </w:rPr>
      </w:pPr>
      <w:r>
        <w:rPr>
          <w:rStyle w:val="DefaultParagraphFont"/>
          <w:bdr w:val="nil"/>
          <w:rtl w:val="0"/>
        </w:rPr>
        <w:t>   </w:t>
      </w:r>
    </w:p>
    <w:tbl>
      <w:tblPr>
        <w:tblStyle w:val="TabulkaIB"/>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5" w:type="dxa"/>
          <w:bottom w:w="0" w:type="dxa"/>
          <w:right w:w="15" w:type="dxa"/>
        </w:tblCellMar>
      </w:tblPr>
      <w:tblGrid>
        <w:gridCol w:w="4525"/>
        <w:gridCol w:w="4440"/>
        <w:gridCol w:w="4747"/>
      </w:tblGrid>
      <w:tr>
        <w:tblPrEx>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5" w:type="dxa"/>
            <w:bottom w:w="0" w:type="dxa"/>
            <w:right w:w="15" w:type="dxa"/>
          </w:tblCellMar>
        </w:tblPrEx>
        <w:trPr>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center"/>
              <w:rPr>
                <w:rStyle w:val="DefaultParagraphFont"/>
                <w:rFonts w:asciiTheme="minorHAnsi" w:eastAsiaTheme="minorEastAsia" w:hAnsiTheme="minorHAnsi"/>
                <w:sz w:val="22"/>
                <w:bdr w:val="nil"/>
                <w:rtl w:val="0"/>
              </w:rPr>
            </w:pPr>
            <w:r>
              <w:rPr>
                <w:rStyle w:val="DefaultParagraphFont"/>
                <w:rFonts w:ascii="Calibri" w:eastAsia="Calibri" w:hAnsi="Calibri" w:cs="Calibri"/>
                <w:b/>
                <w:bCs/>
                <w:i w:val="0"/>
                <w:iCs w:val="0"/>
                <w:smallCaps w:val="0"/>
                <w:color w:val="auto"/>
                <w:sz w:val="22"/>
                <w:szCs w:val="24"/>
                <w:bdr w:val="nil"/>
                <w:rtl w:val="0"/>
              </w:rPr>
              <w:t>Klíčové kompetence</w:t>
            </w:r>
          </w:p>
        </w:tc>
        <w:tc>
          <w:tcPr>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center"/>
              <w:rPr>
                <w:rStyle w:val="DefaultParagraphFont"/>
                <w:rFonts w:asciiTheme="minorHAnsi" w:eastAsiaTheme="minorEastAsia" w:hAnsiTheme="minorHAnsi"/>
                <w:sz w:val="22"/>
                <w:bdr w:val="nil"/>
                <w:rtl w:val="0"/>
              </w:rPr>
            </w:pPr>
            <w:r>
              <w:rPr>
                <w:rStyle w:val="DefaultParagraphFont"/>
                <w:rFonts w:ascii="Calibri" w:eastAsia="Calibri" w:hAnsi="Calibri" w:cs="Calibri"/>
                <w:b/>
                <w:bCs/>
                <w:i w:val="0"/>
                <w:iCs w:val="0"/>
                <w:smallCaps w:val="0"/>
                <w:color w:val="auto"/>
                <w:sz w:val="22"/>
                <w:szCs w:val="24"/>
                <w:bdr w:val="nil"/>
                <w:rtl w:val="0"/>
              </w:rPr>
              <w:t>Dílčí cíle</w:t>
            </w:r>
          </w:p>
        </w:tc>
        <w:tc>
          <w:tcPr>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center"/>
              <w:rPr>
                <w:rStyle w:val="DefaultParagraphFont"/>
                <w:rFonts w:asciiTheme="minorHAnsi" w:eastAsiaTheme="minorEastAsia" w:hAnsiTheme="minorHAnsi"/>
                <w:sz w:val="22"/>
                <w:bdr w:val="nil"/>
                <w:rtl w:val="0"/>
              </w:rPr>
            </w:pPr>
            <w:r>
              <w:rPr>
                <w:rStyle w:val="DefaultParagraphFont"/>
                <w:rFonts w:ascii="Calibri" w:eastAsia="Calibri" w:hAnsi="Calibri" w:cs="Calibri"/>
                <w:b/>
                <w:bCs/>
                <w:i w:val="0"/>
                <w:iCs w:val="0"/>
                <w:smallCaps w:val="0"/>
                <w:color w:val="auto"/>
                <w:sz w:val="22"/>
                <w:szCs w:val="24"/>
                <w:bdr w:val="nil"/>
                <w:rtl w:val="0"/>
              </w:rPr>
              <w:t>Očekávané výstupy</w:t>
            </w:r>
          </w:p>
        </w:tc>
      </w:tr>
      <w:tr>
        <w:tblPrEx>
          <w:tblW w:w="5000" w:type="pct"/>
          <w:tblInd w:w="0" w:type="dxa"/>
          <w:tblCellMar>
            <w:top w:w="0" w:type="dxa"/>
            <w:left w:w="15" w:type="dxa"/>
            <w:bottom w:w="0" w:type="dxa"/>
            <w:right w:w="15" w:type="dxa"/>
          </w:tblCellMar>
        </w:tblPrEx>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dokáže rozpoznat a využívat vlastní silné stránky, poznávat svoje slabé stránky</w:t>
            </w:r>
          </w:p>
        </w:tc>
        <w:tc>
          <w:tcPr>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rozvoj pohybových schopností a zdokonalování dovedností v oblasti hrubé i jemné motoriky (koordinace a rozsahu pohybu, dýchání, koordinace ruky a oka apod.), ovládání pohybového aparátu a tělesných funkcí</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ovládat dechové svalstvo, sladit pohyb se zpěvem</w:t>
            </w:r>
          </w:p>
        </w:tc>
      </w:tr>
      <w:tr>
        <w:tblPrEx>
          <w:tblW w:w="5000" w:type="pct"/>
          <w:tblInd w:w="0" w:type="dxa"/>
          <w:tblCellMar>
            <w:top w:w="0" w:type="dxa"/>
            <w:left w:w="15" w:type="dxa"/>
            <w:bottom w:w="0" w:type="dxa"/>
            <w:right w:w="15" w:type="dxa"/>
          </w:tblCellMar>
        </w:tblPrEx>
        <w:tc>
          <w:tcPr>
            <w:tcW w:w="1650" w:type="pct"/>
            <w:vMerge/>
            <w:tcBorders>
              <w:top w:val="inset" w:sz="6" w:space="0" w:color="808080"/>
              <w:left w:val="inset" w:sz="6" w:space="0" w:color="808080"/>
              <w:bottom w:val="inset" w:sz="6" w:space="0" w:color="808080"/>
              <w:right w:val="inset" w:sz="6" w:space="0" w:color="808080"/>
            </w:tcBorders>
          </w:tcPr>
          <w:p>
            <w:pPr>
              <w:spacing w:line="312" w:lineRule="auto"/>
              <w:jc w:val="both"/>
              <w:rPr>
                <w:rStyle w:val="DefaultParagraphFont"/>
                <w:rFonts w:asciiTheme="minorHAnsi" w:eastAsiaTheme="minorEastAsia" w:hAnsiTheme="minorHAnsi"/>
                <w:sz w:val="22"/>
              </w:rPr>
            </w:pPr>
          </w:p>
        </w:tc>
        <w:tc>
          <w:tcPr>
            <w:vMerge/>
            <w:tcBorders>
              <w:top w:val="inset" w:sz="6" w:space="0" w:color="808080"/>
              <w:left w:val="inset" w:sz="6" w:space="0" w:color="808080"/>
              <w:bottom w:val="inset" w:sz="6" w:space="0" w:color="808080"/>
              <w:right w:val="inset" w:sz="6" w:space="0" w:color="808080"/>
            </w:tcBorders>
          </w:tcPr>
          <w:p>
            <w:pPr>
              <w:spacing w:before="0" w:beforeAutospacing="0" w:after="0" w:afterAutospacing="0" w:line="240" w:lineRule="auto"/>
              <w:jc w:val="both"/>
              <w:rPr>
                <w:rStyle w:val="DefaultParagraphFont"/>
                <w:rFonts w:asciiTheme="minorHAnsi" w:eastAsiaTheme="minorEastAsia" w:hAnsiTheme="minorHAnsi"/>
                <w:sz w:val="22"/>
                <w:bdr w:val="nil"/>
                <w:rtl w:val="0"/>
              </w:rPr>
            </w:pP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vědomě napodobit jednoduchý pohyb podle vzoru a přizpůsobit jej podle pokynu</w:t>
            </w:r>
          </w:p>
        </w:tc>
      </w:tr>
      <w:tr>
        <w:tblPrEx>
          <w:tblW w:w="5000" w:type="pct"/>
          <w:tblInd w:w="0" w:type="dxa"/>
          <w:tblCellMar>
            <w:top w:w="0" w:type="dxa"/>
            <w:left w:w="15" w:type="dxa"/>
            <w:bottom w:w="0" w:type="dxa"/>
            <w:right w:w="15" w:type="dxa"/>
          </w:tblCellMar>
        </w:tblPrEx>
        <w:tc>
          <w:tcPr>
            <w:tcW w:w="1650" w:type="pct"/>
            <w:vMerge/>
            <w:tcBorders>
              <w:top w:val="inset" w:sz="6" w:space="0" w:color="808080"/>
              <w:left w:val="inset" w:sz="6" w:space="0" w:color="808080"/>
              <w:bottom w:val="inset" w:sz="6" w:space="0" w:color="808080"/>
              <w:right w:val="inset" w:sz="6" w:space="0" w:color="808080"/>
            </w:tcBorders>
          </w:tcPr>
          <w:p>
            <w:pPr>
              <w:spacing w:line="312" w:lineRule="auto"/>
              <w:jc w:val="both"/>
              <w:rPr>
                <w:rStyle w:val="DefaultParagraphFont"/>
                <w:rFonts w:asciiTheme="minorHAnsi" w:eastAsiaTheme="minorEastAsia" w:hAnsiTheme="minorHAnsi"/>
                <w:sz w:val="22"/>
              </w:rPr>
            </w:pPr>
          </w:p>
        </w:tc>
        <w:tc>
          <w:tcPr>
            <w:vMerge/>
            <w:tcBorders>
              <w:top w:val="inset" w:sz="6" w:space="0" w:color="808080"/>
              <w:left w:val="inset" w:sz="6" w:space="0" w:color="808080"/>
              <w:bottom w:val="inset" w:sz="6" w:space="0" w:color="808080"/>
              <w:right w:val="inset" w:sz="6" w:space="0" w:color="808080"/>
            </w:tcBorders>
          </w:tcPr>
          <w:p>
            <w:pPr>
              <w:spacing w:before="0" w:beforeAutospacing="0" w:after="0" w:afterAutospacing="0" w:line="240" w:lineRule="auto"/>
              <w:jc w:val="both"/>
              <w:rPr>
                <w:rStyle w:val="DefaultParagraphFont"/>
                <w:rFonts w:asciiTheme="minorHAnsi" w:eastAsiaTheme="minorEastAsia" w:hAnsiTheme="minorHAnsi"/>
                <w:sz w:val="22"/>
                <w:bdr w:val="nil"/>
                <w:rtl w:val="0"/>
              </w:rPr>
            </w:pP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koordinovat lokomoci a další polohy a pohyby těla, sladit pohyb s rytmem a hudbou</w:t>
            </w:r>
          </w:p>
        </w:tc>
      </w:tr>
      <w:tr>
        <w:tblPrEx>
          <w:tblW w:w="5000" w:type="pct"/>
          <w:tblInd w:w="0" w:type="dxa"/>
          <w:tblCellMar>
            <w:top w:w="0" w:type="dxa"/>
            <w:left w:w="15" w:type="dxa"/>
            <w:bottom w:w="0" w:type="dxa"/>
            <w:right w:w="15" w:type="dxa"/>
          </w:tblCellMar>
        </w:tblPrEx>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projevuje dětským způsobem citlivost a ohleduplnost k druhým, pomoc slabším, rozpozná nevhodné chování; vnímá nespravedlnost, ubližování, agresivitu a lhostejnost</w:t>
            </w:r>
          </w:p>
        </w:tc>
        <w:tc>
          <w:tcPr>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osvojení si elementárních poznatků, schopností a dovedností důležitých pro navazování a rozvíjení vztahů dítěte k druhým lidem</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odmítnout komunikaci, která je mu nepříjemná</w:t>
            </w:r>
          </w:p>
        </w:tc>
      </w:tr>
      <w:tr>
        <w:tblPrEx>
          <w:tblW w:w="5000" w:type="pct"/>
          <w:tblInd w:w="0" w:type="dxa"/>
          <w:tblCellMar>
            <w:top w:w="0" w:type="dxa"/>
            <w:left w:w="15" w:type="dxa"/>
            <w:bottom w:w="0" w:type="dxa"/>
            <w:right w:w="15" w:type="dxa"/>
          </w:tblCellMar>
        </w:tblPrEx>
        <w:tc>
          <w:tcPr>
            <w:tcW w:w="1650" w:type="pct"/>
            <w:vMerge/>
            <w:tcBorders>
              <w:top w:val="inset" w:sz="6" w:space="0" w:color="808080"/>
              <w:left w:val="inset" w:sz="6" w:space="0" w:color="808080"/>
              <w:bottom w:val="inset" w:sz="6" w:space="0" w:color="808080"/>
              <w:right w:val="inset" w:sz="6" w:space="0" w:color="808080"/>
            </w:tcBorders>
          </w:tcPr>
          <w:p>
            <w:pPr>
              <w:spacing w:line="312" w:lineRule="auto"/>
              <w:jc w:val="both"/>
              <w:rPr>
                <w:rStyle w:val="DefaultParagraphFont"/>
                <w:rFonts w:asciiTheme="minorHAnsi" w:eastAsiaTheme="minorEastAsia" w:hAnsiTheme="minorHAnsi"/>
                <w:sz w:val="22"/>
              </w:rPr>
            </w:pPr>
          </w:p>
        </w:tc>
        <w:tc>
          <w:tcPr>
            <w:vMerge/>
            <w:tcBorders>
              <w:top w:val="inset" w:sz="6" w:space="0" w:color="808080"/>
              <w:left w:val="inset" w:sz="6" w:space="0" w:color="808080"/>
              <w:bottom w:val="inset" w:sz="6" w:space="0" w:color="808080"/>
              <w:right w:val="inset" w:sz="6" w:space="0" w:color="808080"/>
            </w:tcBorders>
          </w:tcPr>
          <w:p>
            <w:pPr>
              <w:spacing w:before="0" w:beforeAutospacing="0" w:after="0" w:afterAutospacing="0" w:line="240" w:lineRule="auto"/>
              <w:jc w:val="both"/>
              <w:rPr>
                <w:rStyle w:val="DefaultParagraphFont"/>
                <w:rFonts w:asciiTheme="minorHAnsi" w:eastAsiaTheme="minorEastAsia" w:hAnsiTheme="minorHAnsi"/>
                <w:sz w:val="22"/>
                <w:bdr w:val="nil"/>
                <w:rtl w:val="0"/>
              </w:rPr>
            </w:pP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přirozeně a bez zábran komunikovat s druhým dítětem, navazovat a udržovat dětská přátelství</w:t>
            </w:r>
          </w:p>
        </w:tc>
      </w:tr>
      <w:tr>
        <w:tblPrEx>
          <w:tblW w:w="5000" w:type="pct"/>
          <w:tblInd w:w="0" w:type="dxa"/>
          <w:tblCellMar>
            <w:top w:w="0" w:type="dxa"/>
            <w:left w:w="15" w:type="dxa"/>
            <w:bottom w:w="0" w:type="dxa"/>
            <w:right w:w="15" w:type="dxa"/>
          </w:tblCellMar>
        </w:tblPrEx>
        <w:tc>
          <w:tcPr>
            <w:tcW w:w="1650" w:type="pct"/>
            <w:vMerge/>
            <w:tcBorders>
              <w:top w:val="inset" w:sz="6" w:space="0" w:color="808080"/>
              <w:left w:val="inset" w:sz="6" w:space="0" w:color="808080"/>
              <w:bottom w:val="inset" w:sz="6" w:space="0" w:color="808080"/>
              <w:right w:val="inset" w:sz="6" w:space="0" w:color="808080"/>
            </w:tcBorders>
          </w:tcPr>
          <w:p>
            <w:pPr>
              <w:spacing w:line="312" w:lineRule="auto"/>
              <w:jc w:val="both"/>
              <w:rPr>
                <w:rStyle w:val="DefaultParagraphFont"/>
                <w:rFonts w:asciiTheme="minorHAnsi" w:eastAsiaTheme="minorEastAsia" w:hAnsiTheme="minorHAnsi"/>
                <w:sz w:val="22"/>
              </w:rPr>
            </w:pPr>
          </w:p>
        </w:tc>
        <w:tc>
          <w:tcPr>
            <w:vMerge/>
            <w:tcBorders>
              <w:top w:val="inset" w:sz="6" w:space="0" w:color="808080"/>
              <w:left w:val="inset" w:sz="6" w:space="0" w:color="808080"/>
              <w:bottom w:val="inset" w:sz="6" w:space="0" w:color="808080"/>
              <w:right w:val="inset" w:sz="6" w:space="0" w:color="808080"/>
            </w:tcBorders>
          </w:tcPr>
          <w:p>
            <w:pPr>
              <w:spacing w:before="0" w:beforeAutospacing="0" w:after="0" w:afterAutospacing="0" w:line="240" w:lineRule="auto"/>
              <w:jc w:val="both"/>
              <w:rPr>
                <w:rStyle w:val="DefaultParagraphFont"/>
                <w:rFonts w:asciiTheme="minorHAnsi" w:eastAsiaTheme="minorEastAsia" w:hAnsiTheme="minorHAnsi"/>
                <w:sz w:val="22"/>
                <w:bdr w:val="nil"/>
                <w:rtl w:val="0"/>
              </w:rPr>
            </w:pP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navazovat kontakty s dospělým, kterému je svěřeno do péče, překonat stud, komunikovat s ním vhodným způsobem, respektovat ho</w:t>
            </w:r>
          </w:p>
        </w:tc>
      </w:tr>
      <w:tr>
        <w:tblPrEx>
          <w:tblW w:w="5000" w:type="pct"/>
          <w:tblInd w:w="0" w:type="dxa"/>
          <w:tblCellMar>
            <w:top w:w="0" w:type="dxa"/>
            <w:left w:w="15" w:type="dxa"/>
            <w:bottom w:w="0" w:type="dxa"/>
            <w:right w:w="15" w:type="dxa"/>
          </w:tblCellMar>
        </w:tblPrEx>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se učí nejen spontánně, ale i vědomě, vyvine úsilí, soustředí se na činnost a záměrně si zapamatuje; při zadané práci dokončí, co započalo; dovede postupovat podle instrukcí a pokynů, je schopno dobrat se k výsledkům</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rozvoj schopnosti citové vztahy vytvářet, rozvíjet je a city plně prožívat</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uvědomovat si příjemné a nepříjemné citové prožitky (lásku, soucítění, radost, spokojenost i strach, smutek, odmítání), rozlišovat citové projevy v důvěrném (rodinném) a cizím prostředí</w:t>
            </w:r>
          </w:p>
        </w:tc>
      </w:tr>
      <w:tr>
        <w:tblPrEx>
          <w:tblW w:w="5000" w:type="pct"/>
          <w:tblInd w:w="0" w:type="dxa"/>
          <w:tblCellMar>
            <w:top w:w="0" w:type="dxa"/>
            <w:left w:w="15" w:type="dxa"/>
            <w:bottom w:w="0" w:type="dxa"/>
            <w:right w:w="15" w:type="dxa"/>
          </w:tblCellMar>
        </w:tblPrEx>
        <w:tc>
          <w:tcPr>
            <w:tcW w:w="1650" w:type="pct"/>
            <w:vMerge/>
            <w:tcBorders>
              <w:top w:val="inset" w:sz="6" w:space="0" w:color="808080"/>
              <w:left w:val="inset" w:sz="6" w:space="0" w:color="808080"/>
              <w:bottom w:val="inset" w:sz="6" w:space="0" w:color="808080"/>
              <w:right w:val="inset" w:sz="6" w:space="0" w:color="808080"/>
            </w:tcBorders>
          </w:tcPr>
          <w:p>
            <w:pPr>
              <w:spacing w:line="312" w:lineRule="auto"/>
              <w:jc w:val="both"/>
              <w:rPr>
                <w:rStyle w:val="DefaultParagraphFont"/>
                <w:rFonts w:asciiTheme="minorHAnsi" w:eastAsiaTheme="minorEastAsia" w:hAnsiTheme="minorHAnsi"/>
                <w:sz w:val="22"/>
              </w:rPr>
            </w:pP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rozvoj poznatků, schopností a dovedností umožňujících pocity, získané dojmy a prožitky vyjádřit</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prožívat radost ze zvládnutého a poznaného</w:t>
            </w:r>
          </w:p>
        </w:tc>
      </w:tr>
      <w:tr>
        <w:tblPrEx>
          <w:tblW w:w="5000" w:type="pct"/>
          <w:tblInd w:w="0" w:type="dxa"/>
          <w:tblCellMar>
            <w:top w:w="0" w:type="dxa"/>
            <w:left w:w="15" w:type="dxa"/>
            <w:bottom w:w="0" w:type="dxa"/>
            <w:right w:w="15" w:type="dxa"/>
          </w:tblCellMar>
        </w:tblPrEx>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průběžně rozšiřuje svou slovní zásobu a aktivně ji používá k dokonalejší komunikaci s okolím</w:t>
            </w:r>
          </w:p>
        </w:tc>
        <w:tc>
          <w:tcPr>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rozvoj řečových schopností a jazykových dovedností receptivních (vnímání, naslouchání, porozumění) i produktivních (výslovnosti, vytváření pojmů, mluvního projevu, vyjadřování)</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poznat a vymyslet jednoduchá synonyma, homonyma a antonyma</w:t>
            </w:r>
          </w:p>
        </w:tc>
      </w:tr>
      <w:tr>
        <w:tblPrEx>
          <w:tblW w:w="5000" w:type="pct"/>
          <w:tblInd w:w="0" w:type="dxa"/>
          <w:tblCellMar>
            <w:top w:w="0" w:type="dxa"/>
            <w:left w:w="15" w:type="dxa"/>
            <w:bottom w:w="0" w:type="dxa"/>
            <w:right w:w="15" w:type="dxa"/>
          </w:tblCellMar>
        </w:tblPrEx>
        <w:tc>
          <w:tcPr>
            <w:tcW w:w="1650" w:type="pct"/>
            <w:vMerge/>
            <w:tcBorders>
              <w:top w:val="inset" w:sz="6" w:space="0" w:color="808080"/>
              <w:left w:val="inset" w:sz="6" w:space="0" w:color="808080"/>
              <w:bottom w:val="inset" w:sz="6" w:space="0" w:color="808080"/>
              <w:right w:val="inset" w:sz="6" w:space="0" w:color="808080"/>
            </w:tcBorders>
          </w:tcPr>
          <w:p>
            <w:pPr>
              <w:spacing w:line="312" w:lineRule="auto"/>
              <w:jc w:val="both"/>
              <w:rPr>
                <w:rStyle w:val="DefaultParagraphFont"/>
                <w:rFonts w:asciiTheme="minorHAnsi" w:eastAsiaTheme="minorEastAsia" w:hAnsiTheme="minorHAnsi"/>
                <w:sz w:val="22"/>
              </w:rPr>
            </w:pPr>
          </w:p>
        </w:tc>
        <w:tc>
          <w:tcPr>
            <w:vMerge/>
            <w:tcBorders>
              <w:top w:val="inset" w:sz="6" w:space="0" w:color="808080"/>
              <w:left w:val="inset" w:sz="6" w:space="0" w:color="808080"/>
              <w:bottom w:val="inset" w:sz="6" w:space="0" w:color="808080"/>
              <w:right w:val="inset" w:sz="6" w:space="0" w:color="808080"/>
            </w:tcBorders>
          </w:tcPr>
          <w:p>
            <w:pPr>
              <w:spacing w:before="0" w:beforeAutospacing="0" w:after="0" w:afterAutospacing="0" w:line="240" w:lineRule="auto"/>
              <w:jc w:val="both"/>
              <w:rPr>
                <w:rStyle w:val="DefaultParagraphFont"/>
                <w:rFonts w:asciiTheme="minorHAnsi" w:eastAsiaTheme="minorEastAsia" w:hAnsiTheme="minorHAnsi"/>
                <w:sz w:val="22"/>
                <w:bdr w:val="nil"/>
                <w:rtl w:val="0"/>
              </w:rPr>
            </w:pP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naučit se zpaměti krátké texty (reprodukovat říkanky, písničky, pohádky, zvládnout jednoduchou dramatickou úlohu apod.)</w:t>
            </w:r>
          </w:p>
        </w:tc>
      </w:tr>
      <w:tr>
        <w:tblPrEx>
          <w:tblW w:w="5000" w:type="pct"/>
          <w:tblInd w:w="0" w:type="dxa"/>
          <w:tblCellMar>
            <w:top w:w="0" w:type="dxa"/>
            <w:left w:w="15" w:type="dxa"/>
            <w:bottom w:w="0" w:type="dxa"/>
            <w:right w:w="15" w:type="dxa"/>
          </w:tblCellMar>
        </w:tblPrEx>
        <w:tc>
          <w:tcPr>
            <w:tcW w:w="1650" w:type="pct"/>
            <w:vMerge/>
            <w:tcBorders>
              <w:top w:val="inset" w:sz="6" w:space="0" w:color="808080"/>
              <w:left w:val="inset" w:sz="6" w:space="0" w:color="808080"/>
              <w:bottom w:val="inset" w:sz="6" w:space="0" w:color="808080"/>
              <w:right w:val="inset" w:sz="6" w:space="0" w:color="808080"/>
            </w:tcBorders>
          </w:tcPr>
          <w:p>
            <w:pPr>
              <w:spacing w:line="312" w:lineRule="auto"/>
              <w:jc w:val="both"/>
              <w:rPr>
                <w:rStyle w:val="DefaultParagraphFont"/>
                <w:rFonts w:asciiTheme="minorHAnsi" w:eastAsiaTheme="minorEastAsia" w:hAnsiTheme="minorHAnsi"/>
                <w:sz w:val="22"/>
              </w:rPr>
            </w:pPr>
          </w:p>
        </w:tc>
        <w:tc>
          <w:tcPr>
            <w:vMerge/>
            <w:tcBorders>
              <w:top w:val="inset" w:sz="6" w:space="0" w:color="808080"/>
              <w:left w:val="inset" w:sz="6" w:space="0" w:color="808080"/>
              <w:bottom w:val="inset" w:sz="6" w:space="0" w:color="808080"/>
              <w:right w:val="inset" w:sz="6" w:space="0" w:color="808080"/>
            </w:tcBorders>
          </w:tcPr>
          <w:p>
            <w:pPr>
              <w:spacing w:before="0" w:beforeAutospacing="0" w:after="0" w:afterAutospacing="0" w:line="240" w:lineRule="auto"/>
              <w:jc w:val="both"/>
              <w:rPr>
                <w:rStyle w:val="DefaultParagraphFont"/>
                <w:rFonts w:asciiTheme="minorHAnsi" w:eastAsiaTheme="minorEastAsia" w:hAnsiTheme="minorHAnsi"/>
                <w:sz w:val="22"/>
                <w:bdr w:val="nil"/>
                <w:rtl w:val="0"/>
              </w:rPr>
            </w:pP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vést rozhovor (naslouchat druhým, vyčkat, až druhý dokončí myšlenku, sledovat řečníka i obsah, ptát se)</w:t>
            </w:r>
          </w:p>
        </w:tc>
      </w:tr>
      <w:tr>
        <w:tblPrEx>
          <w:tblW w:w="5000" w:type="pct"/>
          <w:tblInd w:w="0" w:type="dxa"/>
          <w:tblCellMar>
            <w:top w:w="0" w:type="dxa"/>
            <w:left w:w="15" w:type="dxa"/>
            <w:bottom w:w="0" w:type="dxa"/>
            <w:right w:w="15" w:type="dxa"/>
          </w:tblCellMar>
        </w:tblPrEx>
        <w:tc>
          <w:tcPr>
            <w:tcW w:w="1650" w:type="pct"/>
            <w:vMerge/>
            <w:tcBorders>
              <w:top w:val="inset" w:sz="6" w:space="0" w:color="808080"/>
              <w:left w:val="inset" w:sz="6" w:space="0" w:color="808080"/>
              <w:bottom w:val="inset" w:sz="6" w:space="0" w:color="808080"/>
              <w:right w:val="inset" w:sz="6" w:space="0" w:color="808080"/>
            </w:tcBorders>
          </w:tcPr>
          <w:p>
            <w:pPr>
              <w:spacing w:line="312" w:lineRule="auto"/>
              <w:jc w:val="both"/>
              <w:rPr>
                <w:rStyle w:val="DefaultParagraphFont"/>
                <w:rFonts w:asciiTheme="minorHAnsi" w:eastAsiaTheme="minorEastAsia" w:hAnsiTheme="minorHAnsi"/>
                <w:sz w:val="22"/>
              </w:rPr>
            </w:pPr>
          </w:p>
        </w:tc>
        <w:tc>
          <w:tcPr>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rozvoj tvořivosti (tvořivého myšlení, řešení problémů, tvořivého sebevyjádření)</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vyjadřovat svou představivost a fantazii v tvořivých činnostech (konstruktivních, výtvarných, hudebních, pohybových či dramatických) i ve slovních výpovědích k nim</w:t>
            </w:r>
          </w:p>
        </w:tc>
      </w:tr>
      <w:tr>
        <w:tblPrEx>
          <w:tblW w:w="5000" w:type="pct"/>
          <w:tblInd w:w="0" w:type="dxa"/>
          <w:tblCellMar>
            <w:top w:w="0" w:type="dxa"/>
            <w:left w:w="15" w:type="dxa"/>
            <w:bottom w:w="0" w:type="dxa"/>
            <w:right w:w="15" w:type="dxa"/>
          </w:tblCellMar>
        </w:tblPrEx>
        <w:tc>
          <w:tcPr>
            <w:tcW w:w="1650" w:type="pct"/>
            <w:vMerge/>
            <w:tcBorders>
              <w:top w:val="inset" w:sz="6" w:space="0" w:color="808080"/>
              <w:left w:val="inset" w:sz="6" w:space="0" w:color="808080"/>
              <w:bottom w:val="inset" w:sz="6" w:space="0" w:color="808080"/>
              <w:right w:val="inset" w:sz="6" w:space="0" w:color="808080"/>
            </w:tcBorders>
          </w:tcPr>
          <w:p>
            <w:pPr>
              <w:spacing w:line="312" w:lineRule="auto"/>
              <w:jc w:val="both"/>
              <w:rPr>
                <w:rStyle w:val="DefaultParagraphFont"/>
                <w:rFonts w:asciiTheme="minorHAnsi" w:eastAsiaTheme="minorEastAsia" w:hAnsiTheme="minorHAnsi"/>
                <w:sz w:val="22"/>
              </w:rPr>
            </w:pPr>
          </w:p>
        </w:tc>
        <w:tc>
          <w:tcPr>
            <w:vMerge/>
            <w:tcBorders>
              <w:top w:val="inset" w:sz="6" w:space="0" w:color="808080"/>
              <w:left w:val="inset" w:sz="6" w:space="0" w:color="808080"/>
              <w:bottom w:val="inset" w:sz="6" w:space="0" w:color="808080"/>
              <w:right w:val="inset" w:sz="6" w:space="0" w:color="808080"/>
            </w:tcBorders>
          </w:tcPr>
          <w:p>
            <w:pPr>
              <w:spacing w:before="0" w:beforeAutospacing="0" w:after="0" w:afterAutospacing="0" w:line="240" w:lineRule="auto"/>
              <w:jc w:val="both"/>
              <w:rPr>
                <w:rStyle w:val="DefaultParagraphFont"/>
                <w:rFonts w:asciiTheme="minorHAnsi" w:eastAsiaTheme="minorEastAsia" w:hAnsiTheme="minorHAnsi"/>
                <w:sz w:val="22"/>
                <w:bdr w:val="nil"/>
                <w:rtl w:val="0"/>
              </w:rPr>
            </w:pP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naučit se nazpaměť krátké texty, úmyslně si zapamatovat a vybavit</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se nebojí chybovat, pokud nachází pozitivní ocenění nejen za úspěch, ale také za snahu</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osvojení si poznatků a dovedností potřebných k vykonávání jednoduchých činností v péči o okolí při spoluvytváření zdravého a bezpečného prostředí a k ochraně dítěte před jeho nebezpečnými vlivy</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zvládat běžné činnosti a požadavky na dítě kladené i jednoduché praktické situace, které se doma a v mateřské škole opakují, chovat se přiměřeně a bezpečně doma i na veřejnosti (na ulici, na hřišti, v obchodě, u lékaře apod.)</w:t>
            </w:r>
          </w:p>
        </w:tc>
      </w:tr>
      <w:tr>
        <w:tblPrEx>
          <w:tblW w:w="5000" w:type="pct"/>
          <w:tblInd w:w="0" w:type="dxa"/>
          <w:tblCellMar>
            <w:top w:w="0" w:type="dxa"/>
            <w:left w:w="15" w:type="dxa"/>
            <w:bottom w:w="0" w:type="dxa"/>
            <w:right w:w="15" w:type="dxa"/>
          </w:tblCellMar>
        </w:tblPrEx>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má základní dětskou představu o tom, co je v souladu se základními lidskými hodnotami a normami i co je s nimi v rozporu, a snaží se podle toho chovat</w:t>
            </w:r>
          </w:p>
        </w:tc>
        <w:tc>
          <w:tcPr>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seznamování se světem lidí, kultury a umění, osvojení si základních poznatků o prostředí, v němž dítě žije</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vyjadřovat se prostřednictvím hudebních a hudebně pohybových činností, zvládat základní hudební dovednosti vokální i instrumentální (zazpívat píseň, zacházet s jednoduchými hudebními nástroji, sledovat a rozlišovat rytmus)</w:t>
            </w:r>
          </w:p>
        </w:tc>
      </w:tr>
      <w:tr>
        <w:tblPrEx>
          <w:tblW w:w="5000" w:type="pct"/>
          <w:tblInd w:w="0" w:type="dxa"/>
          <w:tblCellMar>
            <w:top w:w="0" w:type="dxa"/>
            <w:left w:w="15" w:type="dxa"/>
            <w:bottom w:w="0" w:type="dxa"/>
            <w:right w:w="15" w:type="dxa"/>
          </w:tblCellMar>
        </w:tblPrEx>
        <w:tc>
          <w:tcPr>
            <w:tcW w:w="1650" w:type="pct"/>
            <w:vMerge/>
            <w:tcBorders>
              <w:top w:val="inset" w:sz="6" w:space="0" w:color="808080"/>
              <w:left w:val="inset" w:sz="6" w:space="0" w:color="808080"/>
              <w:bottom w:val="inset" w:sz="6" w:space="0" w:color="808080"/>
              <w:right w:val="inset" w:sz="6" w:space="0" w:color="808080"/>
            </w:tcBorders>
          </w:tcPr>
          <w:p>
            <w:pPr>
              <w:spacing w:line="312" w:lineRule="auto"/>
              <w:jc w:val="both"/>
              <w:rPr>
                <w:rStyle w:val="DefaultParagraphFont"/>
                <w:rFonts w:asciiTheme="minorHAnsi" w:eastAsiaTheme="minorEastAsia" w:hAnsiTheme="minorHAnsi"/>
                <w:sz w:val="22"/>
              </w:rPr>
            </w:pPr>
          </w:p>
        </w:tc>
        <w:tc>
          <w:tcPr>
            <w:vMerge/>
            <w:tcBorders>
              <w:top w:val="inset" w:sz="6" w:space="0" w:color="808080"/>
              <w:left w:val="inset" w:sz="6" w:space="0" w:color="808080"/>
              <w:bottom w:val="inset" w:sz="6" w:space="0" w:color="808080"/>
              <w:right w:val="inset" w:sz="6" w:space="0" w:color="808080"/>
            </w:tcBorders>
          </w:tcPr>
          <w:p>
            <w:pPr>
              <w:spacing w:before="0" w:beforeAutospacing="0" w:after="0" w:afterAutospacing="0" w:line="240" w:lineRule="auto"/>
              <w:jc w:val="both"/>
              <w:rPr>
                <w:rStyle w:val="DefaultParagraphFont"/>
                <w:rFonts w:asciiTheme="minorHAnsi" w:eastAsiaTheme="minorEastAsia" w:hAnsiTheme="minorHAnsi"/>
                <w:sz w:val="22"/>
                <w:bdr w:val="nil"/>
                <w:rtl w:val="0"/>
              </w:rPr>
            </w:pP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vnímat umělecké a kulturní podněty, pozorně poslouchat, sledovat se zájmem literární, dramatické či hudební představení a hodnotit svoje zážitky (říci, co bylo zajímavé, co je zaujalo)</w:t>
            </w:r>
          </w:p>
        </w:tc>
      </w:tr>
    </w:tbl>
    <w:p>
      <w:pPr>
        <w:bidi w:val="0"/>
        <w:rPr>
          <w:rStyle w:val="DefaultParagraphFont"/>
          <w:bdr w:val="nil"/>
          <w:rtl w:val="0"/>
        </w:rPr>
      </w:pPr>
      <w:r>
        <w:rPr>
          <w:rStyle w:val="DefaultParagraphFont"/>
          <w:bdr w:val="nil"/>
          <w:rtl w:val="0"/>
        </w:rPr>
        <w:t>    </w:t>
      </w:r>
    </w:p>
    <w:p>
      <w:pPr>
        <w:pStyle w:val="Heading4"/>
        <w:bidi w:val="0"/>
        <w:spacing w:before="319" w:after="319"/>
        <w:rPr>
          <w:rStyle w:val="DefaultParagraphFont"/>
          <w:bdr w:val="nil"/>
          <w:rtl w:val="0"/>
        </w:rPr>
      </w:pPr>
      <w:r>
        <w:rPr>
          <w:rStyle w:val="DefaultParagraphFont"/>
          <w:b/>
          <w:bCs/>
          <w:sz w:val="24"/>
          <w:szCs w:val="24"/>
          <w:bdr w:val="nil"/>
          <w:rtl w:val="0"/>
        </w:rPr>
        <w:t>c) Zima má svá kouzla </w:t>
      </w:r>
    </w:p>
    <w:tbl>
      <w:tblPr>
        <w:tblStyle w:val="TabulkaIB"/>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5" w:type="dxa"/>
          <w:bottom w:w="0" w:type="dxa"/>
          <w:right w:w="15" w:type="dxa"/>
        </w:tblCellMar>
      </w:tblPr>
      <w:tblGrid>
        <w:gridCol w:w="4525"/>
        <w:gridCol w:w="9188"/>
      </w:tblGrid>
      <w:tr>
        <w:tblPrEx>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5" w:type="dxa"/>
            <w:bottom w:w="0" w:type="dxa"/>
            <w:right w:w="15" w:type="dxa"/>
          </w:tblCellMar>
        </w:tblPrEx>
        <w:trPr>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Název integrovaného bloku</w:t>
            </w:r>
          </w:p>
        </w:tc>
        <w:tc>
          <w:tcPr>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center"/>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c) Zima má svá kouzla</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pPr>
              <w:shd w:val="clear" w:color="auto" w:fill="DEEAF6"/>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Oblast</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Dítě a svět, Dítě a společnost, Dítě a ten druhý, Dítě a jeho psychika, Dítě a jeho tělo</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pPr>
              <w:shd w:val="clear" w:color="auto" w:fill="DEEAF6"/>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Charakteristika integrovaného bloku</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Děti si užívají zimní radovánky a sporty, seznamují se s důležitostí vhodného oblečení a a dodržování bezpečnosti při zimních sportech. Děti obdivují krásy zimní krajiny. Ve školce se těší na karneval a masopustní tradice. Nezapomínají ani na zvířátka v zimně, chodí společně do krmelce.</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pPr>
              <w:shd w:val="clear" w:color="auto" w:fill="DEEAF6"/>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Návrhy dílčích témat pro realizaci</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vločka</w:t>
            </w:r>
          </w:p>
        </w:tc>
      </w:tr>
    </w:tbl>
    <w:p>
      <w:pPr>
        <w:bidi w:val="0"/>
        <w:rPr>
          <w:rStyle w:val="DefaultParagraphFont"/>
          <w:bdr w:val="nil"/>
          <w:rtl w:val="0"/>
        </w:rPr>
      </w:pPr>
      <w:r>
        <w:rPr>
          <w:rStyle w:val="DefaultParagraphFont"/>
          <w:bdr w:val="nil"/>
          <w:rtl w:val="0"/>
        </w:rPr>
        <w:t>   </w:t>
      </w:r>
    </w:p>
    <w:tbl>
      <w:tblPr>
        <w:tblStyle w:val="TabulkaIB"/>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5" w:type="dxa"/>
          <w:bottom w:w="0" w:type="dxa"/>
          <w:right w:w="15" w:type="dxa"/>
        </w:tblCellMar>
      </w:tblPr>
      <w:tblGrid>
        <w:gridCol w:w="4525"/>
        <w:gridCol w:w="1699"/>
        <w:gridCol w:w="7489"/>
      </w:tblGrid>
      <w:tr>
        <w:tblPrEx>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5" w:type="dxa"/>
            <w:bottom w:w="0" w:type="dxa"/>
            <w:right w:w="15" w:type="dxa"/>
          </w:tblCellMar>
        </w:tblPrEx>
        <w:trPr>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center"/>
              <w:rPr>
                <w:rStyle w:val="DefaultParagraphFont"/>
                <w:rFonts w:asciiTheme="minorHAnsi" w:eastAsiaTheme="minorEastAsia" w:hAnsiTheme="minorHAnsi"/>
                <w:sz w:val="22"/>
                <w:bdr w:val="nil"/>
                <w:rtl w:val="0"/>
              </w:rPr>
            </w:pPr>
            <w:r>
              <w:rPr>
                <w:rStyle w:val="DefaultParagraphFont"/>
                <w:rFonts w:ascii="Calibri" w:eastAsia="Calibri" w:hAnsi="Calibri" w:cs="Calibri"/>
                <w:b/>
                <w:bCs/>
                <w:i w:val="0"/>
                <w:iCs w:val="0"/>
                <w:smallCaps w:val="0"/>
                <w:color w:val="auto"/>
                <w:sz w:val="22"/>
                <w:szCs w:val="24"/>
                <w:bdr w:val="nil"/>
                <w:rtl w:val="0"/>
              </w:rPr>
              <w:t>Klíčové kompetence</w:t>
            </w:r>
          </w:p>
        </w:tc>
        <w:tc>
          <w:tcPr>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center"/>
              <w:rPr>
                <w:rStyle w:val="DefaultParagraphFont"/>
                <w:rFonts w:asciiTheme="minorHAnsi" w:eastAsiaTheme="minorEastAsia" w:hAnsiTheme="minorHAnsi"/>
                <w:sz w:val="22"/>
                <w:bdr w:val="nil"/>
                <w:rtl w:val="0"/>
              </w:rPr>
            </w:pPr>
            <w:r>
              <w:rPr>
                <w:rStyle w:val="DefaultParagraphFont"/>
                <w:rFonts w:ascii="Calibri" w:eastAsia="Calibri" w:hAnsi="Calibri" w:cs="Calibri"/>
                <w:b/>
                <w:bCs/>
                <w:i w:val="0"/>
                <w:iCs w:val="0"/>
                <w:smallCaps w:val="0"/>
                <w:color w:val="auto"/>
                <w:sz w:val="22"/>
                <w:szCs w:val="24"/>
                <w:bdr w:val="nil"/>
                <w:rtl w:val="0"/>
              </w:rPr>
              <w:t>Dílčí cíle</w:t>
            </w:r>
          </w:p>
        </w:tc>
        <w:tc>
          <w:tcPr>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center"/>
              <w:rPr>
                <w:rStyle w:val="DefaultParagraphFont"/>
                <w:rFonts w:asciiTheme="minorHAnsi" w:eastAsiaTheme="minorEastAsia" w:hAnsiTheme="minorHAnsi"/>
                <w:sz w:val="22"/>
                <w:bdr w:val="nil"/>
                <w:rtl w:val="0"/>
              </w:rPr>
            </w:pPr>
            <w:r>
              <w:rPr>
                <w:rStyle w:val="DefaultParagraphFont"/>
                <w:rFonts w:ascii="Calibri" w:eastAsia="Calibri" w:hAnsi="Calibri" w:cs="Calibri"/>
                <w:b/>
                <w:bCs/>
                <w:i w:val="0"/>
                <w:iCs w:val="0"/>
                <w:smallCaps w:val="0"/>
                <w:color w:val="auto"/>
                <w:sz w:val="22"/>
                <w:szCs w:val="24"/>
                <w:bdr w:val="nil"/>
                <w:rtl w:val="0"/>
              </w:rPr>
              <w:t>Očekávané výstupy</w:t>
            </w:r>
          </w:p>
        </w:tc>
      </w:tr>
      <w:tr>
        <w:tblPrEx>
          <w:tblW w:w="5000" w:type="pct"/>
          <w:tblInd w:w="0" w:type="dxa"/>
          <w:tblCellMar>
            <w:top w:w="0" w:type="dxa"/>
            <w:left w:w="15" w:type="dxa"/>
            <w:bottom w:w="0" w:type="dxa"/>
            <w:right w:w="15" w:type="dxa"/>
          </w:tblCellMar>
        </w:tblPrEx>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samostatně rozhoduje o svých činnostech; umí si vytvořit svůj názor a vyjádřit jej</w:t>
            </w:r>
          </w:p>
        </w:tc>
        <w:tc>
          <w:tcPr>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rozvoj komunikativních dovedností (verbálních i neverbálních) a kultivovaného projevu</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projevovat zájem o knížky, soustředěně poslouchat četbu, hudbu, sledovat divadlo, film, užívat telefon</w:t>
            </w:r>
          </w:p>
        </w:tc>
      </w:tr>
      <w:tr>
        <w:tblPrEx>
          <w:tblW w:w="5000" w:type="pct"/>
          <w:tblInd w:w="0" w:type="dxa"/>
          <w:tblCellMar>
            <w:top w:w="0" w:type="dxa"/>
            <w:left w:w="15" w:type="dxa"/>
            <w:bottom w:w="0" w:type="dxa"/>
            <w:right w:w="15" w:type="dxa"/>
          </w:tblCellMar>
        </w:tblPrEx>
        <w:tc>
          <w:tcPr>
            <w:tcW w:w="1650" w:type="pct"/>
            <w:vMerge/>
            <w:tcBorders>
              <w:top w:val="inset" w:sz="6" w:space="0" w:color="808080"/>
              <w:left w:val="inset" w:sz="6" w:space="0" w:color="808080"/>
              <w:bottom w:val="inset" w:sz="6" w:space="0" w:color="808080"/>
              <w:right w:val="inset" w:sz="6" w:space="0" w:color="808080"/>
            </w:tcBorders>
          </w:tcPr>
          <w:p>
            <w:pPr>
              <w:spacing w:line="312" w:lineRule="auto"/>
              <w:jc w:val="both"/>
              <w:rPr>
                <w:rStyle w:val="DefaultParagraphFont"/>
                <w:rFonts w:asciiTheme="minorHAnsi" w:eastAsiaTheme="minorEastAsia" w:hAnsiTheme="minorHAnsi"/>
                <w:sz w:val="22"/>
              </w:rPr>
            </w:pPr>
          </w:p>
        </w:tc>
        <w:tc>
          <w:tcPr>
            <w:vMerge/>
            <w:tcBorders>
              <w:top w:val="inset" w:sz="6" w:space="0" w:color="808080"/>
              <w:left w:val="inset" w:sz="6" w:space="0" w:color="808080"/>
              <w:bottom w:val="inset" w:sz="6" w:space="0" w:color="808080"/>
              <w:right w:val="inset" w:sz="6" w:space="0" w:color="808080"/>
            </w:tcBorders>
          </w:tcPr>
          <w:p>
            <w:pPr>
              <w:spacing w:before="0" w:beforeAutospacing="0" w:after="0" w:afterAutospacing="0" w:line="240" w:lineRule="auto"/>
              <w:jc w:val="both"/>
              <w:rPr>
                <w:rStyle w:val="DefaultParagraphFont"/>
                <w:rFonts w:asciiTheme="minorHAnsi" w:eastAsiaTheme="minorEastAsia" w:hAnsiTheme="minorHAnsi"/>
                <w:sz w:val="22"/>
                <w:bdr w:val="nil"/>
                <w:rtl w:val="0"/>
              </w:rPr>
            </w:pP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popsat situaci (skutečnou, podle obrázku)</w:t>
            </w:r>
          </w:p>
        </w:tc>
      </w:tr>
      <w:tr>
        <w:tblPrEx>
          <w:tblW w:w="5000" w:type="pct"/>
          <w:tblInd w:w="0" w:type="dxa"/>
          <w:tblCellMar>
            <w:top w:w="0" w:type="dxa"/>
            <w:left w:w="15" w:type="dxa"/>
            <w:bottom w:w="0" w:type="dxa"/>
            <w:right w:w="15" w:type="dxa"/>
          </w:tblCellMar>
        </w:tblPrEx>
        <w:tc>
          <w:tcPr>
            <w:tcW w:w="1650" w:type="pct"/>
            <w:vMerge/>
            <w:tcBorders>
              <w:top w:val="inset" w:sz="6" w:space="0" w:color="808080"/>
              <w:left w:val="inset" w:sz="6" w:space="0" w:color="808080"/>
              <w:bottom w:val="inset" w:sz="6" w:space="0" w:color="808080"/>
              <w:right w:val="inset" w:sz="6" w:space="0" w:color="808080"/>
            </w:tcBorders>
          </w:tcPr>
          <w:p>
            <w:pPr>
              <w:spacing w:line="312" w:lineRule="auto"/>
              <w:jc w:val="both"/>
              <w:rPr>
                <w:rStyle w:val="DefaultParagraphFont"/>
                <w:rFonts w:asciiTheme="minorHAnsi" w:eastAsiaTheme="minorEastAsia" w:hAnsiTheme="minorHAnsi"/>
                <w:sz w:val="22"/>
              </w:rPr>
            </w:pPr>
          </w:p>
        </w:tc>
        <w:tc>
          <w:tcPr>
            <w:vMerge/>
            <w:tcBorders>
              <w:top w:val="inset" w:sz="6" w:space="0" w:color="808080"/>
              <w:left w:val="inset" w:sz="6" w:space="0" w:color="808080"/>
              <w:bottom w:val="inset" w:sz="6" w:space="0" w:color="808080"/>
              <w:right w:val="inset" w:sz="6" w:space="0" w:color="808080"/>
            </w:tcBorders>
          </w:tcPr>
          <w:p>
            <w:pPr>
              <w:spacing w:before="0" w:beforeAutospacing="0" w:after="0" w:afterAutospacing="0" w:line="240" w:lineRule="auto"/>
              <w:jc w:val="both"/>
              <w:rPr>
                <w:rStyle w:val="DefaultParagraphFont"/>
                <w:rFonts w:asciiTheme="minorHAnsi" w:eastAsiaTheme="minorEastAsia" w:hAnsiTheme="minorHAnsi"/>
                <w:sz w:val="22"/>
                <w:bdr w:val="nil"/>
                <w:rtl w:val="0"/>
              </w:rPr>
            </w:pP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sledovat a vyprávět příběh, pohádku</w:t>
            </w:r>
          </w:p>
        </w:tc>
      </w:tr>
      <w:tr>
        <w:tblPrEx>
          <w:tblW w:w="5000" w:type="pct"/>
          <w:tblInd w:w="0" w:type="dxa"/>
          <w:tblCellMar>
            <w:top w:w="0" w:type="dxa"/>
            <w:left w:w="15" w:type="dxa"/>
            <w:bottom w:w="0" w:type="dxa"/>
            <w:right w:w="15" w:type="dxa"/>
          </w:tblCellMar>
        </w:tblPrEx>
        <w:tc>
          <w:tcPr>
            <w:tcW w:w="1650" w:type="pct"/>
            <w:vMerge/>
            <w:tcBorders>
              <w:top w:val="inset" w:sz="6" w:space="0" w:color="808080"/>
              <w:left w:val="inset" w:sz="6" w:space="0" w:color="808080"/>
              <w:bottom w:val="inset" w:sz="6" w:space="0" w:color="808080"/>
              <w:right w:val="inset" w:sz="6" w:space="0" w:color="808080"/>
            </w:tcBorders>
          </w:tcPr>
          <w:p>
            <w:pPr>
              <w:spacing w:line="312" w:lineRule="auto"/>
              <w:jc w:val="both"/>
              <w:rPr>
                <w:rStyle w:val="DefaultParagraphFont"/>
                <w:rFonts w:asciiTheme="minorHAnsi" w:eastAsiaTheme="minorEastAsia" w:hAnsiTheme="minorHAnsi"/>
                <w:sz w:val="22"/>
              </w:rPr>
            </w:pPr>
          </w:p>
        </w:tc>
        <w:tc>
          <w:tcPr>
            <w:vMerge/>
            <w:tcBorders>
              <w:top w:val="inset" w:sz="6" w:space="0" w:color="808080"/>
              <w:left w:val="inset" w:sz="6" w:space="0" w:color="808080"/>
              <w:bottom w:val="inset" w:sz="6" w:space="0" w:color="808080"/>
              <w:right w:val="inset" w:sz="6" w:space="0" w:color="808080"/>
            </w:tcBorders>
          </w:tcPr>
          <w:p>
            <w:pPr>
              <w:spacing w:before="0" w:beforeAutospacing="0" w:after="0" w:afterAutospacing="0" w:line="240" w:lineRule="auto"/>
              <w:jc w:val="both"/>
              <w:rPr>
                <w:rStyle w:val="DefaultParagraphFont"/>
                <w:rFonts w:asciiTheme="minorHAnsi" w:eastAsiaTheme="minorEastAsia" w:hAnsiTheme="minorHAnsi"/>
                <w:sz w:val="22"/>
                <w:bdr w:val="nil"/>
                <w:rtl w:val="0"/>
              </w:rPr>
            </w:pP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formulovat otázky, odpovídat, hodnotit slovní výkony, slovně reagovat</w:t>
            </w:r>
          </w:p>
        </w:tc>
      </w:tr>
      <w:tr>
        <w:tblPrEx>
          <w:tblW w:w="5000" w:type="pct"/>
          <w:tblInd w:w="0" w:type="dxa"/>
          <w:tblCellMar>
            <w:top w:w="0" w:type="dxa"/>
            <w:left w:w="15" w:type="dxa"/>
            <w:bottom w:w="0" w:type="dxa"/>
            <w:right w:w="15" w:type="dxa"/>
          </w:tblCellMar>
        </w:tblPrEx>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řeší problémy na základě bezprostřední zkušenosti; postupuje cestou pokusu a omylu, zkouší, experimentuje; spontánně vymýšlí nová řešení problémů a situací; hledá různé možnosti a varianty (má vlastní, originální nápady); využívá při tom dosavadní zkušenosti, fantazii a představivost</w:t>
            </w:r>
          </w:p>
        </w:tc>
        <w:tc>
          <w:tcPr>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posilování přirozených poznávacích citů (zvídavosti, zájmu, radosti z objevování apod.)</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vnímat, že je zajímavé dozvídat se nové věci, využívat zkušeností k učení</w:t>
            </w:r>
          </w:p>
        </w:tc>
      </w:tr>
      <w:tr>
        <w:tblPrEx>
          <w:tblW w:w="5000" w:type="pct"/>
          <w:tblInd w:w="0" w:type="dxa"/>
          <w:tblCellMar>
            <w:top w:w="0" w:type="dxa"/>
            <w:left w:w="15" w:type="dxa"/>
            <w:bottom w:w="0" w:type="dxa"/>
            <w:right w:w="15" w:type="dxa"/>
          </w:tblCellMar>
        </w:tblPrEx>
        <w:tc>
          <w:tcPr>
            <w:tcW w:w="1650" w:type="pct"/>
            <w:vMerge/>
            <w:tcBorders>
              <w:top w:val="inset" w:sz="6" w:space="0" w:color="808080"/>
              <w:left w:val="inset" w:sz="6" w:space="0" w:color="808080"/>
              <w:bottom w:val="inset" w:sz="6" w:space="0" w:color="808080"/>
              <w:right w:val="inset" w:sz="6" w:space="0" w:color="808080"/>
            </w:tcBorders>
          </w:tcPr>
          <w:p>
            <w:pPr>
              <w:spacing w:line="312" w:lineRule="auto"/>
              <w:jc w:val="both"/>
              <w:rPr>
                <w:rStyle w:val="DefaultParagraphFont"/>
                <w:rFonts w:asciiTheme="minorHAnsi" w:eastAsiaTheme="minorEastAsia" w:hAnsiTheme="minorHAnsi"/>
                <w:sz w:val="22"/>
              </w:rPr>
            </w:pPr>
          </w:p>
        </w:tc>
        <w:tc>
          <w:tcPr>
            <w:vMerge/>
            <w:tcBorders>
              <w:top w:val="inset" w:sz="6" w:space="0" w:color="808080"/>
              <w:left w:val="inset" w:sz="6" w:space="0" w:color="808080"/>
              <w:bottom w:val="inset" w:sz="6" w:space="0" w:color="808080"/>
              <w:right w:val="inset" w:sz="6" w:space="0" w:color="808080"/>
            </w:tcBorders>
          </w:tcPr>
          <w:p>
            <w:pPr>
              <w:spacing w:before="0" w:beforeAutospacing="0" w:after="0" w:afterAutospacing="0" w:line="240" w:lineRule="auto"/>
              <w:jc w:val="both"/>
              <w:rPr>
                <w:rStyle w:val="DefaultParagraphFont"/>
                <w:rFonts w:asciiTheme="minorHAnsi" w:eastAsiaTheme="minorEastAsia" w:hAnsiTheme="minorHAnsi"/>
                <w:sz w:val="22"/>
                <w:bdr w:val="nil"/>
                <w:rtl w:val="0"/>
              </w:rPr>
            </w:pP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záměrně se soustředit na činnost a udržet pozornost</w:t>
            </w:r>
          </w:p>
        </w:tc>
      </w:tr>
      <w:tr>
        <w:tblPrEx>
          <w:tblW w:w="5000" w:type="pct"/>
          <w:tblInd w:w="0" w:type="dxa"/>
          <w:tblCellMar>
            <w:top w:w="0" w:type="dxa"/>
            <w:left w:w="15" w:type="dxa"/>
            <w:bottom w:w="0" w:type="dxa"/>
            <w:right w:w="15" w:type="dxa"/>
          </w:tblCellMar>
        </w:tblPrEx>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má smysl pro povinnost ve hře, práci i učení; k úkolům a povinnostem přistupuje odpovědně; váží si práce i úsilí druhých</w:t>
            </w:r>
          </w:p>
        </w:tc>
        <w:tc>
          <w:tcPr>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rozvoj kooperativních dovedností</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respektovat potřeby jiného dítěte, dělit se s ním o hračky, pomůcky, pamlsky, rozdělit si úkol s jiným dítětem apod.</w:t>
            </w:r>
          </w:p>
        </w:tc>
      </w:tr>
      <w:tr>
        <w:tblPrEx>
          <w:tblW w:w="5000" w:type="pct"/>
          <w:tblInd w:w="0" w:type="dxa"/>
          <w:tblCellMar>
            <w:top w:w="0" w:type="dxa"/>
            <w:left w:w="15" w:type="dxa"/>
            <w:bottom w:w="0" w:type="dxa"/>
            <w:right w:w="15" w:type="dxa"/>
          </w:tblCellMar>
        </w:tblPrEx>
        <w:tc>
          <w:tcPr>
            <w:tcW w:w="1650" w:type="pct"/>
            <w:vMerge/>
            <w:tcBorders>
              <w:top w:val="inset" w:sz="6" w:space="0" w:color="808080"/>
              <w:left w:val="inset" w:sz="6" w:space="0" w:color="808080"/>
              <w:bottom w:val="inset" w:sz="6" w:space="0" w:color="808080"/>
              <w:right w:val="inset" w:sz="6" w:space="0" w:color="808080"/>
            </w:tcBorders>
          </w:tcPr>
          <w:p>
            <w:pPr>
              <w:spacing w:line="312" w:lineRule="auto"/>
              <w:jc w:val="both"/>
              <w:rPr>
                <w:rStyle w:val="DefaultParagraphFont"/>
                <w:rFonts w:asciiTheme="minorHAnsi" w:eastAsiaTheme="minorEastAsia" w:hAnsiTheme="minorHAnsi"/>
                <w:sz w:val="22"/>
              </w:rPr>
            </w:pPr>
          </w:p>
        </w:tc>
        <w:tc>
          <w:tcPr>
            <w:vMerge/>
            <w:tcBorders>
              <w:top w:val="inset" w:sz="6" w:space="0" w:color="808080"/>
              <w:left w:val="inset" w:sz="6" w:space="0" w:color="808080"/>
              <w:bottom w:val="inset" w:sz="6" w:space="0" w:color="808080"/>
              <w:right w:val="inset" w:sz="6" w:space="0" w:color="808080"/>
            </w:tcBorders>
          </w:tcPr>
          <w:p>
            <w:pPr>
              <w:spacing w:before="0" w:beforeAutospacing="0" w:after="0" w:afterAutospacing="0" w:line="240" w:lineRule="auto"/>
              <w:jc w:val="both"/>
              <w:rPr>
                <w:rStyle w:val="DefaultParagraphFont"/>
                <w:rFonts w:asciiTheme="minorHAnsi" w:eastAsiaTheme="minorEastAsia" w:hAnsiTheme="minorHAnsi"/>
                <w:sz w:val="22"/>
                <w:bdr w:val="nil"/>
                <w:rtl w:val="0"/>
              </w:rPr>
            </w:pP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spolupracovat s ostatními</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odhaduje své síly, učí se hodnotit svoje osobní pokroky i oceňovat výkony druhých</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rozvoj schopnosti přizpůsobovat se podmínkám vnějšího prostředí i jeho změnám</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osvojit si elementární poznatky o okolním prostředí, které jsou dítěti blízké, pro ně smysluplné a přínosné, zajímavé a jemu pochopitelné a využitelné pro další učení a životní praxi</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chápe, že vyhýbat se řešení problémů nevede k cíli, ale že jejich včasné a uvážlivé řešení je naopak výhodou; uvědomuje si, že svou aktivitou a iniciativou může situaci ovlivnit</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uvědomění si vlastního těla</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zvládnout základní pohybové dovednosti a prostorovou orientaci, běžné způsoby pohybu v různém prostředí (zvládat překážky, házet a chytat míč, užívat různé náčiní, pohybovat se ve skupině dětí, pohybovat se na sněhu, ledu, ve vodě, v písku)</w:t>
            </w:r>
          </w:p>
        </w:tc>
      </w:tr>
      <w:tr>
        <w:tblPrEx>
          <w:tblW w:w="5000" w:type="pct"/>
          <w:tblInd w:w="0" w:type="dxa"/>
          <w:tblCellMar>
            <w:top w:w="0" w:type="dxa"/>
            <w:left w:w="15" w:type="dxa"/>
            <w:bottom w:w="0" w:type="dxa"/>
            <w:right w:w="15" w:type="dxa"/>
          </w:tblCellMar>
        </w:tblPrEx>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dovede využít informativní a komunikativní prostředky, se kterými se běžně setkává (knížky, encyklopedie, počítač, audiovizuální technika, telefon atp.)</w:t>
            </w:r>
          </w:p>
        </w:tc>
        <w:tc>
          <w:tcPr>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rozvoj společenského i estetického vkusu</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uvědomovat si, že ne všichni lidé respektují pravidla chování, že se mohou chovat neočekávaně, proti pravidlům, a tím ohrožovat pohodu i bezpečí druhých; odmítat společensky nežádoucí chování (např. lež, nespravedlnost, ubližování, lhostejnost či agresivitu), chránit se před ním a v rámci svých možností se bránit jeho důsledkům (vyhýbat se komunikaci s lidmi, kteří se takto chovají)</w:t>
            </w:r>
          </w:p>
        </w:tc>
      </w:tr>
      <w:tr>
        <w:tblPrEx>
          <w:tblW w:w="5000" w:type="pct"/>
          <w:tblInd w:w="0" w:type="dxa"/>
          <w:tblCellMar>
            <w:top w:w="0" w:type="dxa"/>
            <w:left w:w="15" w:type="dxa"/>
            <w:bottom w:w="0" w:type="dxa"/>
            <w:right w:w="15" w:type="dxa"/>
          </w:tblCellMar>
        </w:tblPrEx>
        <w:tc>
          <w:tcPr>
            <w:tcW w:w="1650" w:type="pct"/>
            <w:vMerge/>
            <w:tcBorders>
              <w:top w:val="inset" w:sz="6" w:space="0" w:color="808080"/>
              <w:left w:val="inset" w:sz="6" w:space="0" w:color="808080"/>
              <w:bottom w:val="inset" w:sz="6" w:space="0" w:color="808080"/>
              <w:right w:val="inset" w:sz="6" w:space="0" w:color="808080"/>
            </w:tcBorders>
          </w:tcPr>
          <w:p>
            <w:pPr>
              <w:spacing w:line="312" w:lineRule="auto"/>
              <w:jc w:val="both"/>
              <w:rPr>
                <w:rStyle w:val="DefaultParagraphFont"/>
                <w:rFonts w:asciiTheme="minorHAnsi" w:eastAsiaTheme="minorEastAsia" w:hAnsiTheme="minorHAnsi"/>
                <w:sz w:val="22"/>
              </w:rPr>
            </w:pPr>
          </w:p>
        </w:tc>
        <w:tc>
          <w:tcPr>
            <w:vMerge/>
            <w:tcBorders>
              <w:top w:val="inset" w:sz="6" w:space="0" w:color="808080"/>
              <w:left w:val="inset" w:sz="6" w:space="0" w:color="808080"/>
              <w:bottom w:val="inset" w:sz="6" w:space="0" w:color="808080"/>
              <w:right w:val="inset" w:sz="6" w:space="0" w:color="808080"/>
            </w:tcBorders>
          </w:tcPr>
          <w:p>
            <w:pPr>
              <w:spacing w:before="0" w:beforeAutospacing="0" w:after="0" w:afterAutospacing="0" w:line="240" w:lineRule="auto"/>
              <w:jc w:val="both"/>
              <w:rPr>
                <w:rStyle w:val="DefaultParagraphFont"/>
                <w:rFonts w:asciiTheme="minorHAnsi" w:eastAsiaTheme="minorEastAsia" w:hAnsiTheme="minorHAnsi"/>
                <w:sz w:val="22"/>
                <w:bdr w:val="nil"/>
                <w:rtl w:val="0"/>
              </w:rPr>
            </w:pP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chovat se zdvořile, přistupovat k druhým lidem, k dospělým i k dětem, bez předsudků, s úctou k jejich osobě, vážit si jejich práce a úsilí</w:t>
            </w:r>
          </w:p>
        </w:tc>
      </w:tr>
      <w:tr>
        <w:tblPrEx>
          <w:tblW w:w="5000" w:type="pct"/>
          <w:tblInd w:w="0" w:type="dxa"/>
          <w:tblCellMar>
            <w:top w:w="0" w:type="dxa"/>
            <w:left w:w="15" w:type="dxa"/>
            <w:bottom w:w="0" w:type="dxa"/>
            <w:right w:w="15" w:type="dxa"/>
          </w:tblCellMar>
        </w:tblPrEx>
        <w:tc>
          <w:tcPr>
            <w:tcW w:w="1650" w:type="pct"/>
            <w:vMerge/>
            <w:tcBorders>
              <w:top w:val="inset" w:sz="6" w:space="0" w:color="808080"/>
              <w:left w:val="inset" w:sz="6" w:space="0" w:color="808080"/>
              <w:bottom w:val="inset" w:sz="6" w:space="0" w:color="808080"/>
              <w:right w:val="inset" w:sz="6" w:space="0" w:color="808080"/>
            </w:tcBorders>
          </w:tcPr>
          <w:p>
            <w:pPr>
              <w:spacing w:line="312" w:lineRule="auto"/>
              <w:jc w:val="both"/>
              <w:rPr>
                <w:rStyle w:val="DefaultParagraphFont"/>
                <w:rFonts w:asciiTheme="minorHAnsi" w:eastAsiaTheme="minorEastAsia" w:hAnsiTheme="minorHAnsi"/>
                <w:sz w:val="22"/>
              </w:rPr>
            </w:pPr>
          </w:p>
        </w:tc>
        <w:tc>
          <w:tcPr>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získání schopnosti záměrně řídit svoje chování a ovlivňovat vlastní situaci</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prožívat a dětským způsobem projevovat, co cítí (soucit, radost, náklonnost), snažit se ovládat své afektivní chování (odložit splnění svých osobních přání, zklidnit se, tlumit vztek, zlost, agresivitu apod.)</w:t>
            </w:r>
          </w:p>
        </w:tc>
      </w:tr>
      <w:tr>
        <w:tblPrEx>
          <w:tblW w:w="5000" w:type="pct"/>
          <w:tblInd w:w="0" w:type="dxa"/>
          <w:tblCellMar>
            <w:top w:w="0" w:type="dxa"/>
            <w:left w:w="15" w:type="dxa"/>
            <w:bottom w:w="0" w:type="dxa"/>
            <w:right w:w="15" w:type="dxa"/>
          </w:tblCellMar>
        </w:tblPrEx>
        <w:tc>
          <w:tcPr>
            <w:tcW w:w="1650" w:type="pct"/>
            <w:vMerge/>
            <w:tcBorders>
              <w:top w:val="inset" w:sz="6" w:space="0" w:color="808080"/>
              <w:left w:val="inset" w:sz="6" w:space="0" w:color="808080"/>
              <w:bottom w:val="inset" w:sz="6" w:space="0" w:color="808080"/>
              <w:right w:val="inset" w:sz="6" w:space="0" w:color="808080"/>
            </w:tcBorders>
          </w:tcPr>
          <w:p>
            <w:pPr>
              <w:spacing w:line="312" w:lineRule="auto"/>
              <w:jc w:val="both"/>
              <w:rPr>
                <w:rStyle w:val="DefaultParagraphFont"/>
                <w:rFonts w:asciiTheme="minorHAnsi" w:eastAsiaTheme="minorEastAsia" w:hAnsiTheme="minorHAnsi"/>
                <w:sz w:val="22"/>
              </w:rPr>
            </w:pPr>
          </w:p>
        </w:tc>
        <w:tc>
          <w:tcPr>
            <w:vMerge/>
            <w:tcBorders>
              <w:top w:val="inset" w:sz="6" w:space="0" w:color="808080"/>
              <w:left w:val="inset" w:sz="6" w:space="0" w:color="808080"/>
              <w:bottom w:val="inset" w:sz="6" w:space="0" w:color="808080"/>
              <w:right w:val="inset" w:sz="6" w:space="0" w:color="808080"/>
            </w:tcBorders>
          </w:tcPr>
          <w:p>
            <w:pPr>
              <w:spacing w:before="0" w:beforeAutospacing="0" w:after="0" w:afterAutospacing="0" w:line="240" w:lineRule="auto"/>
              <w:jc w:val="both"/>
              <w:rPr>
                <w:rStyle w:val="DefaultParagraphFont"/>
                <w:rFonts w:asciiTheme="minorHAnsi" w:eastAsiaTheme="minorEastAsia" w:hAnsiTheme="minorHAnsi"/>
                <w:sz w:val="22"/>
                <w:bdr w:val="nil"/>
                <w:rtl w:val="0"/>
              </w:rPr>
            </w:pP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vyvinout volní úsilí, soustředit se na činnost a její dokončení</w:t>
            </w:r>
          </w:p>
        </w:tc>
      </w:tr>
      <w:tr>
        <w:tblPrEx>
          <w:tblW w:w="5000" w:type="pct"/>
          <w:tblInd w:w="0" w:type="dxa"/>
          <w:tblCellMar>
            <w:top w:w="0" w:type="dxa"/>
            <w:left w:w="15" w:type="dxa"/>
            <w:bottom w:w="0" w:type="dxa"/>
            <w:right w:w="15" w:type="dxa"/>
          </w:tblCellMar>
        </w:tblPrEx>
        <w:tc>
          <w:tcPr>
            <w:tcW w:w="1650" w:type="pct"/>
            <w:vMerge/>
            <w:tcBorders>
              <w:top w:val="inset" w:sz="6" w:space="0" w:color="808080"/>
              <w:left w:val="inset" w:sz="6" w:space="0" w:color="808080"/>
              <w:bottom w:val="inset" w:sz="6" w:space="0" w:color="808080"/>
              <w:right w:val="inset" w:sz="6" w:space="0" w:color="808080"/>
            </w:tcBorders>
          </w:tcPr>
          <w:p>
            <w:pPr>
              <w:spacing w:line="312" w:lineRule="auto"/>
              <w:jc w:val="both"/>
              <w:rPr>
                <w:rStyle w:val="DefaultParagraphFont"/>
                <w:rFonts w:asciiTheme="minorHAnsi" w:eastAsiaTheme="minorEastAsia" w:hAnsiTheme="minorHAnsi"/>
                <w:sz w:val="22"/>
              </w:rPr>
            </w:pPr>
          </w:p>
        </w:tc>
        <w:tc>
          <w:tcPr>
            <w:vMerge/>
            <w:tcBorders>
              <w:top w:val="inset" w:sz="6" w:space="0" w:color="808080"/>
              <w:left w:val="inset" w:sz="6" w:space="0" w:color="808080"/>
              <w:bottom w:val="inset" w:sz="6" w:space="0" w:color="808080"/>
              <w:right w:val="inset" w:sz="6" w:space="0" w:color="808080"/>
            </w:tcBorders>
          </w:tcPr>
          <w:p>
            <w:pPr>
              <w:spacing w:before="0" w:beforeAutospacing="0" w:after="0" w:afterAutospacing="0" w:line="240" w:lineRule="auto"/>
              <w:jc w:val="both"/>
              <w:rPr>
                <w:rStyle w:val="DefaultParagraphFont"/>
                <w:rFonts w:asciiTheme="minorHAnsi" w:eastAsiaTheme="minorEastAsia" w:hAnsiTheme="minorHAnsi"/>
                <w:sz w:val="22"/>
                <w:bdr w:val="nil"/>
                <w:rtl w:val="0"/>
              </w:rPr>
            </w:pP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ve známých a opakujících se situacích a v situacích, kterým rozumí, ovládat svoje city a přizpůsobovat jim své chování</w:t>
            </w:r>
          </w:p>
        </w:tc>
      </w:tr>
      <w:tr>
        <w:tblPrEx>
          <w:tblW w:w="5000" w:type="pct"/>
          <w:tblInd w:w="0" w:type="dxa"/>
          <w:tblCellMar>
            <w:top w:w="0" w:type="dxa"/>
            <w:left w:w="15" w:type="dxa"/>
            <w:bottom w:w="0" w:type="dxa"/>
            <w:right w:w="15" w:type="dxa"/>
          </w:tblCellMar>
        </w:tblPrEx>
        <w:tc>
          <w:tcPr>
            <w:tcW w:w="1650" w:type="pct"/>
            <w:vMerge/>
            <w:tcBorders>
              <w:top w:val="inset" w:sz="6" w:space="0" w:color="808080"/>
              <w:left w:val="inset" w:sz="6" w:space="0" w:color="808080"/>
              <w:bottom w:val="inset" w:sz="6" w:space="0" w:color="808080"/>
              <w:right w:val="inset" w:sz="6" w:space="0" w:color="808080"/>
            </w:tcBorders>
          </w:tcPr>
          <w:p>
            <w:pPr>
              <w:spacing w:line="312" w:lineRule="auto"/>
              <w:jc w:val="both"/>
              <w:rPr>
                <w:rStyle w:val="DefaultParagraphFont"/>
                <w:rFonts w:asciiTheme="minorHAnsi" w:eastAsiaTheme="minorEastAsia" w:hAnsiTheme="minorHAnsi"/>
                <w:sz w:val="22"/>
              </w:rPr>
            </w:pPr>
          </w:p>
        </w:tc>
        <w:tc>
          <w:tcPr>
            <w:vMerge/>
            <w:tcBorders>
              <w:top w:val="inset" w:sz="6" w:space="0" w:color="808080"/>
              <w:left w:val="inset" w:sz="6" w:space="0" w:color="808080"/>
              <w:bottom w:val="inset" w:sz="6" w:space="0" w:color="808080"/>
              <w:right w:val="inset" w:sz="6" w:space="0" w:color="808080"/>
            </w:tcBorders>
          </w:tcPr>
          <w:p>
            <w:pPr>
              <w:spacing w:before="0" w:beforeAutospacing="0" w:after="0" w:afterAutospacing="0" w:line="240" w:lineRule="auto"/>
              <w:jc w:val="both"/>
              <w:rPr>
                <w:rStyle w:val="DefaultParagraphFont"/>
                <w:rFonts w:asciiTheme="minorHAnsi" w:eastAsiaTheme="minorEastAsia" w:hAnsiTheme="minorHAnsi"/>
                <w:sz w:val="22"/>
                <w:bdr w:val="nil"/>
                <w:rtl w:val="0"/>
              </w:rPr>
            </w:pP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rozhodovat o svých činnostech</w:t>
            </w:r>
          </w:p>
        </w:tc>
      </w:tr>
      <w:tr>
        <w:tblPrEx>
          <w:tblW w:w="5000" w:type="pct"/>
          <w:tblInd w:w="0" w:type="dxa"/>
          <w:tblCellMar>
            <w:top w:w="0" w:type="dxa"/>
            <w:left w:w="15" w:type="dxa"/>
            <w:bottom w:w="0" w:type="dxa"/>
            <w:right w:w="15" w:type="dxa"/>
          </w:tblCellMar>
        </w:tblPrEx>
        <w:tc>
          <w:tcPr>
            <w:tcW w:w="1650" w:type="pct"/>
            <w:vMerge/>
            <w:tcBorders>
              <w:top w:val="inset" w:sz="6" w:space="0" w:color="808080"/>
              <w:left w:val="inset" w:sz="6" w:space="0" w:color="808080"/>
              <w:bottom w:val="inset" w:sz="6" w:space="0" w:color="808080"/>
              <w:right w:val="inset" w:sz="6" w:space="0" w:color="808080"/>
            </w:tcBorders>
          </w:tcPr>
          <w:p>
            <w:pPr>
              <w:spacing w:line="312" w:lineRule="auto"/>
              <w:jc w:val="both"/>
              <w:rPr>
                <w:rStyle w:val="DefaultParagraphFont"/>
                <w:rFonts w:asciiTheme="minorHAnsi" w:eastAsiaTheme="minorEastAsia" w:hAnsiTheme="minorHAnsi"/>
                <w:sz w:val="22"/>
              </w:rPr>
            </w:pPr>
          </w:p>
        </w:tc>
        <w:tc>
          <w:tcPr>
            <w:vMerge/>
            <w:tcBorders>
              <w:top w:val="inset" w:sz="6" w:space="0" w:color="808080"/>
              <w:left w:val="inset" w:sz="6" w:space="0" w:color="808080"/>
              <w:bottom w:val="inset" w:sz="6" w:space="0" w:color="808080"/>
              <w:right w:val="inset" w:sz="6" w:space="0" w:color="808080"/>
            </w:tcBorders>
          </w:tcPr>
          <w:p>
            <w:pPr>
              <w:spacing w:before="0" w:beforeAutospacing="0" w:after="0" w:afterAutospacing="0" w:line="240" w:lineRule="auto"/>
              <w:jc w:val="both"/>
              <w:rPr>
                <w:rStyle w:val="DefaultParagraphFont"/>
                <w:rFonts w:asciiTheme="minorHAnsi" w:eastAsiaTheme="minorEastAsia" w:hAnsiTheme="minorHAnsi"/>
                <w:sz w:val="22"/>
                <w:bdr w:val="nil"/>
                <w:rtl w:val="0"/>
              </w:rPr>
            </w:pP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uvědomovat si svou samostatnost, zaujímat vlastní názory a postoje a vyjadřovat je</w:t>
            </w:r>
          </w:p>
        </w:tc>
      </w:tr>
    </w:tbl>
    <w:p>
      <w:pPr>
        <w:bidi w:val="0"/>
        <w:rPr>
          <w:rStyle w:val="DefaultParagraphFont"/>
          <w:bdr w:val="nil"/>
          <w:rtl w:val="0"/>
        </w:rPr>
      </w:pPr>
      <w:r>
        <w:rPr>
          <w:rStyle w:val="DefaultParagraphFont"/>
          <w:bdr w:val="nil"/>
          <w:rtl w:val="0"/>
        </w:rPr>
        <w:t>    </w:t>
      </w:r>
    </w:p>
    <w:p>
      <w:pPr>
        <w:pStyle w:val="Heading4"/>
        <w:bidi w:val="0"/>
        <w:spacing w:before="319" w:after="319"/>
        <w:rPr>
          <w:rStyle w:val="DefaultParagraphFont"/>
          <w:bdr w:val="nil"/>
          <w:rtl w:val="0"/>
        </w:rPr>
      </w:pPr>
      <w:r>
        <w:rPr>
          <w:rStyle w:val="DefaultParagraphFont"/>
          <w:b/>
          <w:bCs/>
          <w:sz w:val="24"/>
          <w:szCs w:val="24"/>
          <w:bdr w:val="nil"/>
          <w:rtl w:val="0"/>
        </w:rPr>
        <w:t>d) Co všechno musí udělat jaro </w:t>
      </w:r>
    </w:p>
    <w:tbl>
      <w:tblPr>
        <w:tblStyle w:val="TabulkaIB"/>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5" w:type="dxa"/>
          <w:bottom w:w="0" w:type="dxa"/>
          <w:right w:w="15" w:type="dxa"/>
        </w:tblCellMar>
      </w:tblPr>
      <w:tblGrid>
        <w:gridCol w:w="4525"/>
        <w:gridCol w:w="9188"/>
      </w:tblGrid>
      <w:tr>
        <w:tblPrEx>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5" w:type="dxa"/>
            <w:bottom w:w="0" w:type="dxa"/>
            <w:right w:w="15" w:type="dxa"/>
          </w:tblCellMar>
        </w:tblPrEx>
        <w:trPr>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Název integrovaného bloku</w:t>
            </w:r>
          </w:p>
        </w:tc>
        <w:tc>
          <w:tcPr>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center"/>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d) Co všechno musí udělat jaro</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pPr>
              <w:shd w:val="clear" w:color="auto" w:fill="DEEAF6"/>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Oblast</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Dítě a jeho psychika, Dítě a ten druhý, Dítě a společnost, Dítě a svět, Dítě a jeho tělo</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pPr>
              <w:shd w:val="clear" w:color="auto" w:fill="DEEAF6"/>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Charakteristika integrovaného bloku</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Děti pozorují jak se příroda probouzí po zimním spánku k životu, rodí se mláďata a rostou květiny. Též přicházejí velikonoční svátky a děti se dozvídají tradice s nimi spojené. Duben ukončíme pořádným čarodějnickým rejděním a nezapomínáme na Den matek.</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pPr>
              <w:shd w:val="clear" w:color="auto" w:fill="DEEAF6"/>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Návrhy dílčích témat pro realizaci</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petrklíč</w:t>
            </w:r>
          </w:p>
        </w:tc>
      </w:tr>
    </w:tbl>
    <w:p>
      <w:pPr>
        <w:bidi w:val="0"/>
        <w:rPr>
          <w:rStyle w:val="DefaultParagraphFont"/>
          <w:bdr w:val="nil"/>
          <w:rtl w:val="0"/>
        </w:rPr>
      </w:pPr>
      <w:r>
        <w:rPr>
          <w:rStyle w:val="DefaultParagraphFont"/>
          <w:bdr w:val="nil"/>
          <w:rtl w:val="0"/>
        </w:rPr>
        <w:t>   </w:t>
      </w:r>
    </w:p>
    <w:tbl>
      <w:tblPr>
        <w:tblStyle w:val="TabulkaIB"/>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5" w:type="dxa"/>
          <w:bottom w:w="0" w:type="dxa"/>
          <w:right w:w="15" w:type="dxa"/>
        </w:tblCellMar>
      </w:tblPr>
      <w:tblGrid>
        <w:gridCol w:w="4525"/>
        <w:gridCol w:w="4022"/>
        <w:gridCol w:w="5166"/>
      </w:tblGrid>
      <w:tr>
        <w:tblPrEx>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5" w:type="dxa"/>
            <w:bottom w:w="0" w:type="dxa"/>
            <w:right w:w="15" w:type="dxa"/>
          </w:tblCellMar>
        </w:tblPrEx>
        <w:trPr>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center"/>
              <w:rPr>
                <w:rStyle w:val="DefaultParagraphFont"/>
                <w:rFonts w:asciiTheme="minorHAnsi" w:eastAsiaTheme="minorEastAsia" w:hAnsiTheme="minorHAnsi"/>
                <w:sz w:val="22"/>
                <w:bdr w:val="nil"/>
                <w:rtl w:val="0"/>
              </w:rPr>
            </w:pPr>
            <w:r>
              <w:rPr>
                <w:rStyle w:val="DefaultParagraphFont"/>
                <w:rFonts w:ascii="Calibri" w:eastAsia="Calibri" w:hAnsi="Calibri" w:cs="Calibri"/>
                <w:b/>
                <w:bCs/>
                <w:i w:val="0"/>
                <w:iCs w:val="0"/>
                <w:smallCaps w:val="0"/>
                <w:color w:val="auto"/>
                <w:sz w:val="22"/>
                <w:szCs w:val="24"/>
                <w:bdr w:val="nil"/>
                <w:rtl w:val="0"/>
              </w:rPr>
              <w:t>Klíčové kompetence</w:t>
            </w:r>
          </w:p>
        </w:tc>
        <w:tc>
          <w:tcPr>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center"/>
              <w:rPr>
                <w:rStyle w:val="DefaultParagraphFont"/>
                <w:rFonts w:asciiTheme="minorHAnsi" w:eastAsiaTheme="minorEastAsia" w:hAnsiTheme="minorHAnsi"/>
                <w:sz w:val="22"/>
                <w:bdr w:val="nil"/>
                <w:rtl w:val="0"/>
              </w:rPr>
            </w:pPr>
            <w:r>
              <w:rPr>
                <w:rStyle w:val="DefaultParagraphFont"/>
                <w:rFonts w:ascii="Calibri" w:eastAsia="Calibri" w:hAnsi="Calibri" w:cs="Calibri"/>
                <w:b/>
                <w:bCs/>
                <w:i w:val="0"/>
                <w:iCs w:val="0"/>
                <w:smallCaps w:val="0"/>
                <w:color w:val="auto"/>
                <w:sz w:val="22"/>
                <w:szCs w:val="24"/>
                <w:bdr w:val="nil"/>
                <w:rtl w:val="0"/>
              </w:rPr>
              <w:t>Dílčí cíle</w:t>
            </w:r>
          </w:p>
        </w:tc>
        <w:tc>
          <w:tcPr>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center"/>
              <w:rPr>
                <w:rStyle w:val="DefaultParagraphFont"/>
                <w:rFonts w:asciiTheme="minorHAnsi" w:eastAsiaTheme="minorEastAsia" w:hAnsiTheme="minorHAnsi"/>
                <w:sz w:val="22"/>
                <w:bdr w:val="nil"/>
                <w:rtl w:val="0"/>
              </w:rPr>
            </w:pPr>
            <w:r>
              <w:rPr>
                <w:rStyle w:val="DefaultParagraphFont"/>
                <w:rFonts w:ascii="Calibri" w:eastAsia="Calibri" w:hAnsi="Calibri" w:cs="Calibri"/>
                <w:b/>
                <w:bCs/>
                <w:i w:val="0"/>
                <w:iCs w:val="0"/>
                <w:smallCaps w:val="0"/>
                <w:color w:val="auto"/>
                <w:sz w:val="22"/>
                <w:szCs w:val="24"/>
                <w:bdr w:val="nil"/>
                <w:rtl w:val="0"/>
              </w:rPr>
              <w:t>Očekávané výstupy</w:t>
            </w:r>
          </w:p>
        </w:tc>
      </w:tr>
      <w:tr>
        <w:tblPrEx>
          <w:tblW w:w="5000" w:type="pct"/>
          <w:tblInd w:w="0" w:type="dxa"/>
          <w:tblCellMar>
            <w:top w:w="0" w:type="dxa"/>
            <w:left w:w="15" w:type="dxa"/>
            <w:bottom w:w="0" w:type="dxa"/>
            <w:right w:w="15" w:type="dxa"/>
          </w:tblCellMar>
        </w:tblPrEx>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si všímá dění i problémů v bezprostředním okolí; přirozenou motivací k řešení dalších problémů a situací je pro něj pozitivní odezva na aktivní zájem</w:t>
            </w:r>
          </w:p>
        </w:tc>
        <w:tc>
          <w:tcPr>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rozvoj, zpřesňování a kultivace smyslového vnímání, přechod od konkrétně názorného myšlení k myšlení slovně-logickému (pojmovému), rozvoj paměti a pozornosti, přechod od bezděčných forem těchto funkcí k úmyslným, rozvoj a kultivace představivosti a fantazie</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chápat prostorové pojmy (vpravo, vlevo, dole, nahoře, uprostřed, za, pod, nad, u, vedle, mezi apod.), elementární časové pojmy (teď, dnes, včera, zítra, ráno, večer, jaro, léto, podzim, zima, rok), orientovat se v prostoru i v rovině, částečně se orientovat v čase</w:t>
            </w:r>
          </w:p>
        </w:tc>
      </w:tr>
      <w:tr>
        <w:tblPrEx>
          <w:tblW w:w="5000" w:type="pct"/>
          <w:tblInd w:w="0" w:type="dxa"/>
          <w:tblCellMar>
            <w:top w:w="0" w:type="dxa"/>
            <w:left w:w="15" w:type="dxa"/>
            <w:bottom w:w="0" w:type="dxa"/>
            <w:right w:w="15" w:type="dxa"/>
          </w:tblCellMar>
        </w:tblPrEx>
        <w:tc>
          <w:tcPr>
            <w:tcW w:w="1650" w:type="pct"/>
            <w:vMerge/>
            <w:tcBorders>
              <w:top w:val="inset" w:sz="6" w:space="0" w:color="808080"/>
              <w:left w:val="inset" w:sz="6" w:space="0" w:color="808080"/>
              <w:bottom w:val="inset" w:sz="6" w:space="0" w:color="808080"/>
              <w:right w:val="inset" w:sz="6" w:space="0" w:color="808080"/>
            </w:tcBorders>
          </w:tcPr>
          <w:p>
            <w:pPr>
              <w:spacing w:line="312" w:lineRule="auto"/>
              <w:jc w:val="both"/>
              <w:rPr>
                <w:rStyle w:val="DefaultParagraphFont"/>
                <w:rFonts w:asciiTheme="minorHAnsi" w:eastAsiaTheme="minorEastAsia" w:hAnsiTheme="minorHAnsi"/>
                <w:sz w:val="22"/>
              </w:rPr>
            </w:pPr>
          </w:p>
        </w:tc>
        <w:tc>
          <w:tcPr>
            <w:vMerge/>
            <w:tcBorders>
              <w:top w:val="inset" w:sz="6" w:space="0" w:color="808080"/>
              <w:left w:val="inset" w:sz="6" w:space="0" w:color="808080"/>
              <w:bottom w:val="inset" w:sz="6" w:space="0" w:color="808080"/>
              <w:right w:val="inset" w:sz="6" w:space="0" w:color="808080"/>
            </w:tcBorders>
          </w:tcPr>
          <w:p>
            <w:pPr>
              <w:spacing w:before="0" w:beforeAutospacing="0" w:after="0" w:afterAutospacing="0" w:line="240" w:lineRule="auto"/>
              <w:jc w:val="both"/>
              <w:rPr>
                <w:rStyle w:val="DefaultParagraphFont"/>
                <w:rFonts w:asciiTheme="minorHAnsi" w:eastAsiaTheme="minorEastAsia" w:hAnsiTheme="minorHAnsi"/>
                <w:sz w:val="22"/>
                <w:bdr w:val="nil"/>
                <w:rtl w:val="0"/>
              </w:rPr>
            </w:pP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zaměřovat se na to, co je z poznávacího hlediska důležité (odhalovat podstatné znaky, vlastnosti předmětů, nacházet společné znaky, podobu a rozdíl, charakteristické rysy předmětů či jevů a vzájemné souvislosti mezi nimi)</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se dokáže vyjadřovat a sdělovat své prožitky, pocity a nálady různými prostředky (řečovými, výtvarnými, hudebními, dramatickými apod.)</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rozvoj a užívání všech smyslů</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vnímat a rozlišovat pomocí všech smyslů (sluchově rozlišovat zvuky a tóny, zrakově rozlišovat tvary předmětů a jiné specifické znaky, rozlišovat vůně, chutě, vnímat hmatem apod.)</w:t>
            </w:r>
          </w:p>
        </w:tc>
      </w:tr>
      <w:tr>
        <w:tblPrEx>
          <w:tblW w:w="5000" w:type="pct"/>
          <w:tblInd w:w="0" w:type="dxa"/>
          <w:tblCellMar>
            <w:top w:w="0" w:type="dxa"/>
            <w:left w:w="15" w:type="dxa"/>
            <w:bottom w:w="0" w:type="dxa"/>
            <w:right w:w="15" w:type="dxa"/>
          </w:tblCellMar>
        </w:tblPrEx>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chápe, že se může o tom, co udělá, rozhodovat svobodně, ale že za svá rozhodnutí také odpovídá</w:t>
            </w:r>
          </w:p>
        </w:tc>
        <w:tc>
          <w:tcPr>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získání relativní citové samostatnosti</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respektovat předem vyjasněná a pochopená pravidla, přijímat vyjasněné a zdůvodněné povinnosti</w:t>
            </w:r>
          </w:p>
        </w:tc>
      </w:tr>
      <w:tr>
        <w:tblPrEx>
          <w:tblW w:w="5000" w:type="pct"/>
          <w:tblInd w:w="0" w:type="dxa"/>
          <w:tblCellMar>
            <w:top w:w="0" w:type="dxa"/>
            <w:left w:w="15" w:type="dxa"/>
            <w:bottom w:w="0" w:type="dxa"/>
            <w:right w:w="15" w:type="dxa"/>
          </w:tblCellMar>
        </w:tblPrEx>
        <w:tc>
          <w:tcPr>
            <w:tcW w:w="1650" w:type="pct"/>
            <w:vMerge/>
            <w:tcBorders>
              <w:top w:val="inset" w:sz="6" w:space="0" w:color="808080"/>
              <w:left w:val="inset" w:sz="6" w:space="0" w:color="808080"/>
              <w:bottom w:val="inset" w:sz="6" w:space="0" w:color="808080"/>
              <w:right w:val="inset" w:sz="6" w:space="0" w:color="808080"/>
            </w:tcBorders>
          </w:tcPr>
          <w:p>
            <w:pPr>
              <w:spacing w:line="312" w:lineRule="auto"/>
              <w:jc w:val="both"/>
              <w:rPr>
                <w:rStyle w:val="DefaultParagraphFont"/>
                <w:rFonts w:asciiTheme="minorHAnsi" w:eastAsiaTheme="minorEastAsia" w:hAnsiTheme="minorHAnsi"/>
                <w:sz w:val="22"/>
              </w:rPr>
            </w:pPr>
          </w:p>
        </w:tc>
        <w:tc>
          <w:tcPr>
            <w:vMerge/>
            <w:tcBorders>
              <w:top w:val="inset" w:sz="6" w:space="0" w:color="808080"/>
              <w:left w:val="inset" w:sz="6" w:space="0" w:color="808080"/>
              <w:bottom w:val="inset" w:sz="6" w:space="0" w:color="808080"/>
              <w:right w:val="inset" w:sz="6" w:space="0" w:color="808080"/>
            </w:tcBorders>
          </w:tcPr>
          <w:p>
            <w:pPr>
              <w:spacing w:before="0" w:beforeAutospacing="0" w:after="0" w:afterAutospacing="0" w:line="240" w:lineRule="auto"/>
              <w:jc w:val="both"/>
              <w:rPr>
                <w:rStyle w:val="DefaultParagraphFont"/>
                <w:rFonts w:asciiTheme="minorHAnsi" w:eastAsiaTheme="minorEastAsia" w:hAnsiTheme="minorHAnsi"/>
                <w:sz w:val="22"/>
                <w:bdr w:val="nil"/>
                <w:rtl w:val="0"/>
              </w:rPr>
            </w:pP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odloučit se na určitou dobu od rodičů a blízkých, být aktivní i bez jejich opory</w:t>
            </w:r>
          </w:p>
        </w:tc>
      </w:tr>
      <w:tr>
        <w:tblPrEx>
          <w:tblW w:w="5000" w:type="pct"/>
          <w:tblInd w:w="0" w:type="dxa"/>
          <w:tblCellMar>
            <w:top w:w="0" w:type="dxa"/>
            <w:left w:w="15" w:type="dxa"/>
            <w:bottom w:w="0" w:type="dxa"/>
            <w:right w:w="15" w:type="dxa"/>
          </w:tblCellMar>
        </w:tblPrEx>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zpřesňuje si početní představy, užívá číselných a matematických pojmů, vnímá elementární matematické souvislosti</w:t>
            </w:r>
          </w:p>
        </w:tc>
        <w:tc>
          <w:tcPr>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vytváření pozitivního vztahu k intelektuálním činnostem a k učení, podpora a rozvoj zájmu o učení</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postupovat a učit se podle pokynů a instrukcí</w:t>
            </w:r>
          </w:p>
        </w:tc>
      </w:tr>
      <w:tr>
        <w:tblPrEx>
          <w:tblW w:w="5000" w:type="pct"/>
          <w:tblInd w:w="0" w:type="dxa"/>
          <w:tblCellMar>
            <w:top w:w="0" w:type="dxa"/>
            <w:left w:w="15" w:type="dxa"/>
            <w:bottom w:w="0" w:type="dxa"/>
            <w:right w:w="15" w:type="dxa"/>
          </w:tblCellMar>
        </w:tblPrEx>
        <w:tc>
          <w:tcPr>
            <w:tcW w:w="1650" w:type="pct"/>
            <w:vMerge/>
            <w:tcBorders>
              <w:top w:val="inset" w:sz="6" w:space="0" w:color="808080"/>
              <w:left w:val="inset" w:sz="6" w:space="0" w:color="808080"/>
              <w:bottom w:val="inset" w:sz="6" w:space="0" w:color="808080"/>
              <w:right w:val="inset" w:sz="6" w:space="0" w:color="808080"/>
            </w:tcBorders>
          </w:tcPr>
          <w:p>
            <w:pPr>
              <w:spacing w:line="312" w:lineRule="auto"/>
              <w:jc w:val="both"/>
              <w:rPr>
                <w:rStyle w:val="DefaultParagraphFont"/>
                <w:rFonts w:asciiTheme="minorHAnsi" w:eastAsiaTheme="minorEastAsia" w:hAnsiTheme="minorHAnsi"/>
                <w:sz w:val="22"/>
              </w:rPr>
            </w:pPr>
          </w:p>
        </w:tc>
        <w:tc>
          <w:tcPr>
            <w:vMerge/>
            <w:tcBorders>
              <w:top w:val="inset" w:sz="6" w:space="0" w:color="808080"/>
              <w:left w:val="inset" w:sz="6" w:space="0" w:color="808080"/>
              <w:bottom w:val="inset" w:sz="6" w:space="0" w:color="808080"/>
              <w:right w:val="inset" w:sz="6" w:space="0" w:color="808080"/>
            </w:tcBorders>
          </w:tcPr>
          <w:p>
            <w:pPr>
              <w:spacing w:before="0" w:beforeAutospacing="0" w:after="0" w:afterAutospacing="0" w:line="240" w:lineRule="auto"/>
              <w:jc w:val="both"/>
              <w:rPr>
                <w:rStyle w:val="DefaultParagraphFont"/>
                <w:rFonts w:asciiTheme="minorHAnsi" w:eastAsiaTheme="minorEastAsia" w:hAnsiTheme="minorHAnsi"/>
                <w:sz w:val="22"/>
                <w:bdr w:val="nil"/>
                <w:rtl w:val="0"/>
              </w:rPr>
            </w:pP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poznat a pojmenovat většinu toho, čím je obklopeno</w:t>
            </w:r>
          </w:p>
        </w:tc>
      </w:tr>
      <w:tr>
        <w:tblPrEx>
          <w:tblW w:w="5000" w:type="pct"/>
          <w:tblInd w:w="0" w:type="dxa"/>
          <w:tblCellMar>
            <w:top w:w="0" w:type="dxa"/>
            <w:left w:w="15" w:type="dxa"/>
            <w:bottom w:w="0" w:type="dxa"/>
            <w:right w:w="15" w:type="dxa"/>
          </w:tblCellMar>
        </w:tblPrEx>
        <w:tc>
          <w:tcPr>
            <w:tcW w:w="1650" w:type="pct"/>
            <w:vMerge/>
            <w:tcBorders>
              <w:top w:val="inset" w:sz="6" w:space="0" w:color="808080"/>
              <w:left w:val="inset" w:sz="6" w:space="0" w:color="808080"/>
              <w:bottom w:val="inset" w:sz="6" w:space="0" w:color="808080"/>
              <w:right w:val="inset" w:sz="6" w:space="0" w:color="808080"/>
            </w:tcBorders>
          </w:tcPr>
          <w:p>
            <w:pPr>
              <w:spacing w:line="312" w:lineRule="auto"/>
              <w:jc w:val="both"/>
              <w:rPr>
                <w:rStyle w:val="DefaultParagraphFont"/>
                <w:rFonts w:asciiTheme="minorHAnsi" w:eastAsiaTheme="minorEastAsia" w:hAnsiTheme="minorHAnsi"/>
                <w:sz w:val="22"/>
              </w:rPr>
            </w:pP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osvojení si elementárních poznatků o znakových systémech a jejich funkci (abeceda, čísla)</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chápat základní číselné a matematické pojmy, elementární matematické souvislosti a podle potřeby je prakticky využívat (porovnávat, uspořádávat a třídit soubory předmětů podle určitého pravidla, orientovat se v elementárním počtu cca do šesti, chápat číselnou řadu v rozsahu první desítky, poznat více, stejně, méně, první, poslední apod.)</w:t>
            </w:r>
          </w:p>
        </w:tc>
      </w:tr>
      <w:tr>
        <w:tblPrEx>
          <w:tblW w:w="5000" w:type="pct"/>
          <w:tblInd w:w="0" w:type="dxa"/>
          <w:tblCellMar>
            <w:top w:w="0" w:type="dxa"/>
            <w:left w:w="15" w:type="dxa"/>
            <w:bottom w:w="0" w:type="dxa"/>
            <w:right w:w="15" w:type="dxa"/>
          </w:tblCellMar>
        </w:tblPrEx>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ovládá dovednosti předcházející čtení a psaní</w:t>
            </w:r>
          </w:p>
        </w:tc>
        <w:tc>
          <w:tcPr>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osvojení si některých poznatků a dovedností, které předcházejí čtení i psaní, rozvoj zájmu o psanou podobu jazyka i další formy sdělení verbální i neverbální (výtvarné, hudební, pohybové, dramatické)</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poznat napsané své jméno</w:t>
            </w:r>
          </w:p>
        </w:tc>
      </w:tr>
      <w:tr>
        <w:tblPrEx>
          <w:tblW w:w="5000" w:type="pct"/>
          <w:tblInd w:w="0" w:type="dxa"/>
          <w:tblCellMar>
            <w:top w:w="0" w:type="dxa"/>
            <w:left w:w="15" w:type="dxa"/>
            <w:bottom w:w="0" w:type="dxa"/>
            <w:right w:w="15" w:type="dxa"/>
          </w:tblCellMar>
        </w:tblPrEx>
        <w:tc>
          <w:tcPr>
            <w:tcW w:w="1650" w:type="pct"/>
            <w:vMerge/>
            <w:tcBorders>
              <w:top w:val="inset" w:sz="6" w:space="0" w:color="808080"/>
              <w:left w:val="inset" w:sz="6" w:space="0" w:color="808080"/>
              <w:bottom w:val="inset" w:sz="6" w:space="0" w:color="808080"/>
              <w:right w:val="inset" w:sz="6" w:space="0" w:color="808080"/>
            </w:tcBorders>
          </w:tcPr>
          <w:p>
            <w:pPr>
              <w:spacing w:line="312" w:lineRule="auto"/>
              <w:jc w:val="both"/>
              <w:rPr>
                <w:rStyle w:val="DefaultParagraphFont"/>
                <w:rFonts w:asciiTheme="minorHAnsi" w:eastAsiaTheme="minorEastAsia" w:hAnsiTheme="minorHAnsi"/>
                <w:sz w:val="22"/>
              </w:rPr>
            </w:pPr>
          </w:p>
        </w:tc>
        <w:tc>
          <w:tcPr>
            <w:vMerge/>
            <w:tcBorders>
              <w:top w:val="inset" w:sz="6" w:space="0" w:color="808080"/>
              <w:left w:val="inset" w:sz="6" w:space="0" w:color="808080"/>
              <w:bottom w:val="inset" w:sz="6" w:space="0" w:color="808080"/>
              <w:right w:val="inset" w:sz="6" w:space="0" w:color="808080"/>
            </w:tcBorders>
          </w:tcPr>
          <w:p>
            <w:pPr>
              <w:spacing w:before="0" w:beforeAutospacing="0" w:after="0" w:afterAutospacing="0" w:line="240" w:lineRule="auto"/>
              <w:jc w:val="both"/>
              <w:rPr>
                <w:rStyle w:val="DefaultParagraphFont"/>
                <w:rFonts w:asciiTheme="minorHAnsi" w:eastAsiaTheme="minorEastAsia" w:hAnsiTheme="minorHAnsi"/>
                <w:sz w:val="22"/>
                <w:bdr w:val="nil"/>
                <w:rtl w:val="0"/>
              </w:rPr>
            </w:pP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poznat některá písmena a číslice, popř. slova</w:t>
            </w:r>
          </w:p>
        </w:tc>
      </w:tr>
      <w:tr>
        <w:tblPrEx>
          <w:tblW w:w="5000" w:type="pct"/>
          <w:tblInd w:w="0" w:type="dxa"/>
          <w:tblCellMar>
            <w:top w:w="0" w:type="dxa"/>
            <w:left w:w="15" w:type="dxa"/>
            <w:bottom w:w="0" w:type="dxa"/>
            <w:right w:w="15" w:type="dxa"/>
          </w:tblCellMar>
        </w:tblPrEx>
        <w:tc>
          <w:tcPr>
            <w:tcW w:w="1650" w:type="pct"/>
            <w:vMerge/>
            <w:tcBorders>
              <w:top w:val="inset" w:sz="6" w:space="0" w:color="808080"/>
              <w:left w:val="inset" w:sz="6" w:space="0" w:color="808080"/>
              <w:bottom w:val="inset" w:sz="6" w:space="0" w:color="808080"/>
              <w:right w:val="inset" w:sz="6" w:space="0" w:color="808080"/>
            </w:tcBorders>
          </w:tcPr>
          <w:p>
            <w:pPr>
              <w:spacing w:line="312" w:lineRule="auto"/>
              <w:jc w:val="both"/>
              <w:rPr>
                <w:rStyle w:val="DefaultParagraphFont"/>
                <w:rFonts w:asciiTheme="minorHAnsi" w:eastAsiaTheme="minorEastAsia" w:hAnsiTheme="minorHAnsi"/>
                <w:sz w:val="22"/>
              </w:rPr>
            </w:pPr>
          </w:p>
        </w:tc>
        <w:tc>
          <w:tcPr>
            <w:vMerge/>
            <w:tcBorders>
              <w:top w:val="inset" w:sz="6" w:space="0" w:color="808080"/>
              <w:left w:val="inset" w:sz="6" w:space="0" w:color="808080"/>
              <w:bottom w:val="inset" w:sz="6" w:space="0" w:color="808080"/>
              <w:right w:val="inset" w:sz="6" w:space="0" w:color="808080"/>
            </w:tcBorders>
          </w:tcPr>
          <w:p>
            <w:pPr>
              <w:spacing w:before="0" w:beforeAutospacing="0" w:after="0" w:afterAutospacing="0" w:line="240" w:lineRule="auto"/>
              <w:jc w:val="both"/>
              <w:rPr>
                <w:rStyle w:val="DefaultParagraphFont"/>
                <w:rFonts w:asciiTheme="minorHAnsi" w:eastAsiaTheme="minorEastAsia" w:hAnsiTheme="minorHAnsi"/>
                <w:sz w:val="22"/>
                <w:bdr w:val="nil"/>
                <w:rtl w:val="0"/>
              </w:rPr>
            </w:pP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poznat a vymyslet jednoduchá synonyma, homonyma a antonyma</w:t>
            </w:r>
          </w:p>
        </w:tc>
      </w:tr>
      <w:tr>
        <w:tblPrEx>
          <w:tblW w:w="5000" w:type="pct"/>
          <w:tblInd w:w="0" w:type="dxa"/>
          <w:tblCellMar>
            <w:top w:w="0" w:type="dxa"/>
            <w:left w:w="15" w:type="dxa"/>
            <w:bottom w:w="0" w:type="dxa"/>
            <w:right w:w="15" w:type="dxa"/>
          </w:tblCellMar>
        </w:tblPrEx>
        <w:tc>
          <w:tcPr>
            <w:tcW w:w="1650" w:type="pct"/>
            <w:vMerge/>
            <w:tcBorders>
              <w:top w:val="inset" w:sz="6" w:space="0" w:color="808080"/>
              <w:left w:val="inset" w:sz="6" w:space="0" w:color="808080"/>
              <w:bottom w:val="inset" w:sz="6" w:space="0" w:color="808080"/>
              <w:right w:val="inset" w:sz="6" w:space="0" w:color="808080"/>
            </w:tcBorders>
          </w:tcPr>
          <w:p>
            <w:pPr>
              <w:spacing w:line="312" w:lineRule="auto"/>
              <w:jc w:val="both"/>
              <w:rPr>
                <w:rStyle w:val="DefaultParagraphFont"/>
                <w:rFonts w:asciiTheme="minorHAnsi" w:eastAsiaTheme="minorEastAsia" w:hAnsiTheme="minorHAnsi"/>
                <w:sz w:val="22"/>
              </w:rPr>
            </w:pPr>
          </w:p>
        </w:tc>
        <w:tc>
          <w:tcPr>
            <w:vMerge/>
            <w:tcBorders>
              <w:top w:val="inset" w:sz="6" w:space="0" w:color="808080"/>
              <w:left w:val="inset" w:sz="6" w:space="0" w:color="808080"/>
              <w:bottom w:val="inset" w:sz="6" w:space="0" w:color="808080"/>
              <w:right w:val="inset" w:sz="6" w:space="0" w:color="808080"/>
            </w:tcBorders>
          </w:tcPr>
          <w:p>
            <w:pPr>
              <w:spacing w:before="0" w:beforeAutospacing="0" w:after="0" w:afterAutospacing="0" w:line="240" w:lineRule="auto"/>
              <w:jc w:val="both"/>
              <w:rPr>
                <w:rStyle w:val="DefaultParagraphFont"/>
                <w:rFonts w:asciiTheme="minorHAnsi" w:eastAsiaTheme="minorEastAsia" w:hAnsiTheme="minorHAnsi"/>
                <w:sz w:val="22"/>
                <w:bdr w:val="nil"/>
                <w:rtl w:val="0"/>
              </w:rPr>
            </w:pP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sluchově rozlišovat začáteční a koncové slabiky a hlásky ve slovech</w:t>
            </w:r>
          </w:p>
        </w:tc>
      </w:tr>
      <w:tr>
        <w:tblPrEx>
          <w:tblW w:w="5000" w:type="pct"/>
          <w:tblInd w:w="0" w:type="dxa"/>
          <w:tblCellMar>
            <w:top w:w="0" w:type="dxa"/>
            <w:left w:w="15" w:type="dxa"/>
            <w:bottom w:w="0" w:type="dxa"/>
            <w:right w:w="15" w:type="dxa"/>
          </w:tblCellMar>
        </w:tblPrEx>
        <w:tc>
          <w:tcPr>
            <w:tcW w:w="1650" w:type="pct"/>
            <w:vMerge/>
            <w:tcBorders>
              <w:top w:val="inset" w:sz="6" w:space="0" w:color="808080"/>
              <w:left w:val="inset" w:sz="6" w:space="0" w:color="808080"/>
              <w:bottom w:val="inset" w:sz="6" w:space="0" w:color="808080"/>
              <w:right w:val="inset" w:sz="6" w:space="0" w:color="808080"/>
            </w:tcBorders>
          </w:tcPr>
          <w:p>
            <w:pPr>
              <w:spacing w:line="312" w:lineRule="auto"/>
              <w:jc w:val="both"/>
              <w:rPr>
                <w:rStyle w:val="DefaultParagraphFont"/>
                <w:rFonts w:asciiTheme="minorHAnsi" w:eastAsiaTheme="minorEastAsia" w:hAnsiTheme="minorHAnsi"/>
                <w:sz w:val="22"/>
              </w:rPr>
            </w:pPr>
          </w:p>
        </w:tc>
        <w:tc>
          <w:tcPr>
            <w:vMerge/>
            <w:tcBorders>
              <w:top w:val="inset" w:sz="6" w:space="0" w:color="808080"/>
              <w:left w:val="inset" w:sz="6" w:space="0" w:color="808080"/>
              <w:bottom w:val="inset" w:sz="6" w:space="0" w:color="808080"/>
              <w:right w:val="inset" w:sz="6" w:space="0" w:color="808080"/>
            </w:tcBorders>
          </w:tcPr>
          <w:p>
            <w:pPr>
              <w:spacing w:before="0" w:beforeAutospacing="0" w:after="0" w:afterAutospacing="0" w:line="240" w:lineRule="auto"/>
              <w:jc w:val="both"/>
              <w:rPr>
                <w:rStyle w:val="DefaultParagraphFont"/>
                <w:rFonts w:asciiTheme="minorHAnsi" w:eastAsiaTheme="minorEastAsia" w:hAnsiTheme="minorHAnsi"/>
                <w:sz w:val="22"/>
                <w:bdr w:val="nil"/>
                <w:rtl w:val="0"/>
              </w:rPr>
            </w:pP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vyjadřovat samostatně a smysluplně myšlenky, nápady, pocity, mínění a úsudky ve vhodně zformulovaných větách</w:t>
            </w:r>
          </w:p>
        </w:tc>
      </w:tr>
      <w:tr>
        <w:tblPrEx>
          <w:tblW w:w="5000" w:type="pct"/>
          <w:tblInd w:w="0" w:type="dxa"/>
          <w:tblCellMar>
            <w:top w:w="0" w:type="dxa"/>
            <w:left w:w="15" w:type="dxa"/>
            <w:bottom w:w="0" w:type="dxa"/>
            <w:right w:w="15" w:type="dxa"/>
          </w:tblCellMar>
        </w:tblPrEx>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napodobuje modely prosociálního chování a mezilidských vztahů, které nachází ve svém okolí</w:t>
            </w:r>
          </w:p>
        </w:tc>
        <w:tc>
          <w:tcPr>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posilování prosociálního chování ve vztahu k ostatním lidem (v rodině, v mateřské škole, v dětské herní skupině apod.)</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vnímat, co si druhý přeje či potřebuje, vycházet mu vstříc (chovat se citlivě a ohleduplně k slabšímu či postiženému dítěti, mít ohled na druhého a soucítit s ním, nabídnout mu pomoc apod.)</w:t>
            </w:r>
          </w:p>
        </w:tc>
      </w:tr>
      <w:tr>
        <w:tblPrEx>
          <w:tblW w:w="5000" w:type="pct"/>
          <w:tblInd w:w="0" w:type="dxa"/>
          <w:tblCellMar>
            <w:top w:w="0" w:type="dxa"/>
            <w:left w:w="15" w:type="dxa"/>
            <w:bottom w:w="0" w:type="dxa"/>
            <w:right w:w="15" w:type="dxa"/>
          </w:tblCellMar>
        </w:tblPrEx>
        <w:tc>
          <w:tcPr>
            <w:tcW w:w="1650" w:type="pct"/>
            <w:vMerge/>
            <w:tcBorders>
              <w:top w:val="inset" w:sz="6" w:space="0" w:color="808080"/>
              <w:left w:val="inset" w:sz="6" w:space="0" w:color="808080"/>
              <w:bottom w:val="inset" w:sz="6" w:space="0" w:color="808080"/>
              <w:right w:val="inset" w:sz="6" w:space="0" w:color="808080"/>
            </w:tcBorders>
          </w:tcPr>
          <w:p>
            <w:pPr>
              <w:spacing w:line="312" w:lineRule="auto"/>
              <w:jc w:val="both"/>
              <w:rPr>
                <w:rStyle w:val="DefaultParagraphFont"/>
                <w:rFonts w:asciiTheme="minorHAnsi" w:eastAsiaTheme="minorEastAsia" w:hAnsiTheme="minorHAnsi"/>
                <w:sz w:val="22"/>
              </w:rPr>
            </w:pPr>
          </w:p>
        </w:tc>
        <w:tc>
          <w:tcPr>
            <w:vMerge/>
            <w:tcBorders>
              <w:top w:val="inset" w:sz="6" w:space="0" w:color="808080"/>
              <w:left w:val="inset" w:sz="6" w:space="0" w:color="808080"/>
              <w:bottom w:val="inset" w:sz="6" w:space="0" w:color="808080"/>
              <w:right w:val="inset" w:sz="6" w:space="0" w:color="808080"/>
            </w:tcBorders>
          </w:tcPr>
          <w:p>
            <w:pPr>
              <w:spacing w:before="0" w:beforeAutospacing="0" w:after="0" w:afterAutospacing="0" w:line="240" w:lineRule="auto"/>
              <w:jc w:val="both"/>
              <w:rPr>
                <w:rStyle w:val="DefaultParagraphFont"/>
                <w:rFonts w:asciiTheme="minorHAnsi" w:eastAsiaTheme="minorEastAsia" w:hAnsiTheme="minorHAnsi"/>
                <w:sz w:val="22"/>
                <w:bdr w:val="nil"/>
                <w:rtl w:val="0"/>
              </w:rPr>
            </w:pP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uplatňovat své individuální potřeby, přání a práva s ohledem na druhého (obhajovat svůj postoj nebo názor, respektovat jiný postoj či názor), přijímat a uzavírat kompromisy, řešit konflikt dohodou</w:t>
            </w:r>
          </w:p>
        </w:tc>
      </w:tr>
      <w:tr>
        <w:tblPrEx>
          <w:tblW w:w="5000" w:type="pct"/>
          <w:tblInd w:w="0" w:type="dxa"/>
          <w:tblCellMar>
            <w:top w:w="0" w:type="dxa"/>
            <w:left w:w="15" w:type="dxa"/>
            <w:bottom w:w="0" w:type="dxa"/>
            <w:right w:w="15" w:type="dxa"/>
          </w:tblCellMar>
        </w:tblPrEx>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rozlišuje řešení, která jsou funkční (vedoucí k cíli), a řešení, která funkční nejsou; dokáže mezi nimi volit</w:t>
            </w:r>
          </w:p>
        </w:tc>
        <w:tc>
          <w:tcPr>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rozvoj a kultivace mravního i estetického vnímání, cítění a prožívání</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zachytit a vyjádřit své prožitky (slovně, výtvarně, pomocí hudby, hudebně pohybovou či dramatickou improvizací apod.)</w:t>
            </w:r>
          </w:p>
        </w:tc>
      </w:tr>
      <w:tr>
        <w:tblPrEx>
          <w:tblW w:w="5000" w:type="pct"/>
          <w:tblInd w:w="0" w:type="dxa"/>
          <w:tblCellMar>
            <w:top w:w="0" w:type="dxa"/>
            <w:left w:w="15" w:type="dxa"/>
            <w:bottom w:w="0" w:type="dxa"/>
            <w:right w:w="15" w:type="dxa"/>
          </w:tblCellMar>
        </w:tblPrEx>
        <w:tc>
          <w:tcPr>
            <w:tcW w:w="1650" w:type="pct"/>
            <w:vMerge/>
            <w:tcBorders>
              <w:top w:val="inset" w:sz="6" w:space="0" w:color="808080"/>
              <w:left w:val="inset" w:sz="6" w:space="0" w:color="808080"/>
              <w:bottom w:val="inset" w:sz="6" w:space="0" w:color="808080"/>
              <w:right w:val="inset" w:sz="6" w:space="0" w:color="808080"/>
            </w:tcBorders>
          </w:tcPr>
          <w:p>
            <w:pPr>
              <w:spacing w:line="312" w:lineRule="auto"/>
              <w:jc w:val="both"/>
              <w:rPr>
                <w:rStyle w:val="DefaultParagraphFont"/>
                <w:rFonts w:asciiTheme="minorHAnsi" w:eastAsiaTheme="minorEastAsia" w:hAnsiTheme="minorHAnsi"/>
                <w:sz w:val="22"/>
              </w:rPr>
            </w:pPr>
          </w:p>
        </w:tc>
        <w:tc>
          <w:tcPr>
            <w:vMerge/>
            <w:tcBorders>
              <w:top w:val="inset" w:sz="6" w:space="0" w:color="808080"/>
              <w:left w:val="inset" w:sz="6" w:space="0" w:color="808080"/>
              <w:bottom w:val="inset" w:sz="6" w:space="0" w:color="808080"/>
              <w:right w:val="inset" w:sz="6" w:space="0" w:color="808080"/>
            </w:tcBorders>
          </w:tcPr>
          <w:p>
            <w:pPr>
              <w:spacing w:before="0" w:beforeAutospacing="0" w:after="0" w:afterAutospacing="0" w:line="240" w:lineRule="auto"/>
              <w:jc w:val="both"/>
              <w:rPr>
                <w:rStyle w:val="DefaultParagraphFont"/>
                <w:rFonts w:asciiTheme="minorHAnsi" w:eastAsiaTheme="minorEastAsia" w:hAnsiTheme="minorHAnsi"/>
                <w:sz w:val="22"/>
                <w:bdr w:val="nil"/>
                <w:rtl w:val="0"/>
              </w:rPr>
            </w:pP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být citlivé ve vztahu k živým bytostem, k přírodě i k věcem</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se zajímá o druhé i o to, co se kolem děje; je otevřené aktuálnímu dění</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rozvoj úcty k životu ve všech jeho formách</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pomáhat pečovat o okolní životní prostředí (dbát o pořádek a čistotu, nakládat vhodnýmzpůsobem s odpady, starat se o rostliny, spoluvytvářet pohodu prostředí, chránit příroduv okolí, živé tvory apod.)</w:t>
            </w:r>
          </w:p>
        </w:tc>
      </w:tr>
      <w:tr>
        <w:tblPrEx>
          <w:tblW w:w="5000" w:type="pct"/>
          <w:tblInd w:w="0" w:type="dxa"/>
          <w:tblCellMar>
            <w:top w:w="0" w:type="dxa"/>
            <w:left w:w="15" w:type="dxa"/>
            <w:bottom w:w="0" w:type="dxa"/>
            <w:right w:w="15" w:type="dxa"/>
          </w:tblCellMar>
        </w:tblPrEx>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se učí s chutí, pokud se mu dostává uznání a ocenění</w:t>
            </w:r>
          </w:p>
        </w:tc>
        <w:tc>
          <w:tcPr>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vytvoření základů aktivních postojů ke světu, k životu, pozitivních vztahů ke kultuře a umění, rozvoj dovedností umožňujících tyto vztahy a postoje vyjadřovat a projevovat</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zachycovat skutečnosti ze svého okolí a vyjadřovat své představy pomocí různých výtvarných dovedností a technik (kreslit, používat barvy, modelovat, konstruovat, tvořit z papíru, tvořit a vyrábět z různých jiných materiálů, z přírodnin aj.)</w:t>
            </w:r>
          </w:p>
        </w:tc>
      </w:tr>
      <w:tr>
        <w:tblPrEx>
          <w:tblW w:w="5000" w:type="pct"/>
          <w:tblInd w:w="0" w:type="dxa"/>
          <w:tblCellMar>
            <w:top w:w="0" w:type="dxa"/>
            <w:left w:w="15" w:type="dxa"/>
            <w:bottom w:w="0" w:type="dxa"/>
            <w:right w:w="15" w:type="dxa"/>
          </w:tblCellMar>
        </w:tblPrEx>
        <w:tc>
          <w:tcPr>
            <w:tcW w:w="1650" w:type="pct"/>
            <w:vMerge/>
            <w:tcBorders>
              <w:top w:val="inset" w:sz="6" w:space="0" w:color="808080"/>
              <w:left w:val="inset" w:sz="6" w:space="0" w:color="808080"/>
              <w:bottom w:val="inset" w:sz="6" w:space="0" w:color="808080"/>
              <w:right w:val="inset" w:sz="6" w:space="0" w:color="808080"/>
            </w:tcBorders>
          </w:tcPr>
          <w:p>
            <w:pPr>
              <w:spacing w:line="312" w:lineRule="auto"/>
              <w:jc w:val="both"/>
              <w:rPr>
                <w:rStyle w:val="DefaultParagraphFont"/>
                <w:rFonts w:asciiTheme="minorHAnsi" w:eastAsiaTheme="minorEastAsia" w:hAnsiTheme="minorHAnsi"/>
                <w:sz w:val="22"/>
              </w:rPr>
            </w:pPr>
          </w:p>
        </w:tc>
        <w:tc>
          <w:tcPr>
            <w:vMerge/>
            <w:tcBorders>
              <w:top w:val="inset" w:sz="6" w:space="0" w:color="808080"/>
              <w:left w:val="inset" w:sz="6" w:space="0" w:color="808080"/>
              <w:bottom w:val="inset" w:sz="6" w:space="0" w:color="808080"/>
              <w:right w:val="inset" w:sz="6" w:space="0" w:color="808080"/>
            </w:tcBorders>
          </w:tcPr>
          <w:p>
            <w:pPr>
              <w:spacing w:before="0" w:beforeAutospacing="0" w:after="0" w:afterAutospacing="0" w:line="240" w:lineRule="auto"/>
              <w:jc w:val="both"/>
              <w:rPr>
                <w:rStyle w:val="DefaultParagraphFont"/>
                <w:rFonts w:asciiTheme="minorHAnsi" w:eastAsiaTheme="minorEastAsia" w:hAnsiTheme="minorHAnsi"/>
                <w:sz w:val="22"/>
                <w:bdr w:val="nil"/>
                <w:rtl w:val="0"/>
              </w:rPr>
            </w:pP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vyjednávat s dětmi i dospělými ve svém okolí, domluvit se na společném řešení (v jednoduchých situacích samostatně, jinak s pomocí)</w:t>
            </w:r>
          </w:p>
        </w:tc>
      </w:tr>
    </w:tbl>
    <w:p>
      <w:pPr>
        <w:bidi w:val="0"/>
        <w:rPr>
          <w:rStyle w:val="DefaultParagraphFont"/>
          <w:bdr w:val="nil"/>
          <w:rtl w:val="0"/>
        </w:rPr>
      </w:pPr>
      <w:r>
        <w:rPr>
          <w:rStyle w:val="DefaultParagraphFont"/>
          <w:bdr w:val="nil"/>
          <w:rtl w:val="0"/>
        </w:rPr>
        <w:t>    </w:t>
      </w:r>
    </w:p>
    <w:p>
      <w:pPr>
        <w:pStyle w:val="Heading4"/>
        <w:bidi w:val="0"/>
        <w:spacing w:before="319" w:after="319"/>
        <w:rPr>
          <w:rStyle w:val="DefaultParagraphFont"/>
          <w:bdr w:val="nil"/>
          <w:rtl w:val="0"/>
        </w:rPr>
      </w:pPr>
      <w:r>
        <w:rPr>
          <w:rStyle w:val="DefaultParagraphFont"/>
          <w:b/>
          <w:bCs/>
          <w:sz w:val="24"/>
          <w:szCs w:val="24"/>
          <w:bdr w:val="nil"/>
          <w:rtl w:val="0"/>
        </w:rPr>
        <w:t>e) Letní hrátky </w:t>
      </w:r>
    </w:p>
    <w:tbl>
      <w:tblPr>
        <w:tblStyle w:val="TabulkaIB"/>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5" w:type="dxa"/>
          <w:bottom w:w="0" w:type="dxa"/>
          <w:right w:w="15" w:type="dxa"/>
        </w:tblCellMar>
      </w:tblPr>
      <w:tblGrid>
        <w:gridCol w:w="4525"/>
        <w:gridCol w:w="9188"/>
      </w:tblGrid>
      <w:tr>
        <w:tblPrEx>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5" w:type="dxa"/>
            <w:bottom w:w="0" w:type="dxa"/>
            <w:right w:w="15" w:type="dxa"/>
          </w:tblCellMar>
        </w:tblPrEx>
        <w:trPr>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Název integrovaného bloku</w:t>
            </w:r>
          </w:p>
        </w:tc>
        <w:tc>
          <w:tcPr>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center"/>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e) Letní hrátky</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pPr>
              <w:shd w:val="clear" w:color="auto" w:fill="DEEAF6"/>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Oblast</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Dítě a jeho tělo, Dítě a jeho psychika, Dítě a ten druhý, Dítě a společnost, Dítě a svět</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pPr>
              <w:shd w:val="clear" w:color="auto" w:fill="DEEAF6"/>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Charakteristika integrovaného bloku</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Oslavíme společně svátek dětí, děti využijí teplého počasí při hrách a učení venku, ke sportování v přírodě, k delším procházkách v okolí vesnice, rozloučíme se s dětmi, které odcházejí do školy.</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pPr>
              <w:shd w:val="clear" w:color="auto" w:fill="DEEAF6"/>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Návrhy dílčích témat pro realizaci</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léto</w:t>
            </w:r>
          </w:p>
        </w:tc>
      </w:tr>
    </w:tbl>
    <w:p>
      <w:pPr>
        <w:bidi w:val="0"/>
        <w:rPr>
          <w:rStyle w:val="DefaultParagraphFont"/>
          <w:bdr w:val="nil"/>
          <w:rtl w:val="0"/>
        </w:rPr>
      </w:pPr>
      <w:r>
        <w:rPr>
          <w:rStyle w:val="DefaultParagraphFont"/>
          <w:bdr w:val="nil"/>
          <w:rtl w:val="0"/>
        </w:rPr>
        <w:t>   </w:t>
      </w:r>
    </w:p>
    <w:tbl>
      <w:tblPr>
        <w:tblStyle w:val="TabulkaIB"/>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5" w:type="dxa"/>
          <w:bottom w:w="0" w:type="dxa"/>
          <w:right w:w="15" w:type="dxa"/>
        </w:tblCellMar>
      </w:tblPr>
      <w:tblGrid>
        <w:gridCol w:w="4525"/>
        <w:gridCol w:w="3890"/>
        <w:gridCol w:w="5298"/>
      </w:tblGrid>
      <w:tr>
        <w:tblPrEx>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5" w:type="dxa"/>
            <w:bottom w:w="0" w:type="dxa"/>
            <w:right w:w="15" w:type="dxa"/>
          </w:tblCellMar>
        </w:tblPrEx>
        <w:trPr>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center"/>
              <w:rPr>
                <w:rStyle w:val="DefaultParagraphFont"/>
                <w:rFonts w:asciiTheme="minorHAnsi" w:eastAsiaTheme="minorEastAsia" w:hAnsiTheme="minorHAnsi"/>
                <w:sz w:val="22"/>
                <w:bdr w:val="nil"/>
                <w:rtl w:val="0"/>
              </w:rPr>
            </w:pPr>
            <w:r>
              <w:rPr>
                <w:rStyle w:val="DefaultParagraphFont"/>
                <w:rFonts w:ascii="Calibri" w:eastAsia="Calibri" w:hAnsi="Calibri" w:cs="Calibri"/>
                <w:b/>
                <w:bCs/>
                <w:i w:val="0"/>
                <w:iCs w:val="0"/>
                <w:smallCaps w:val="0"/>
                <w:color w:val="auto"/>
                <w:sz w:val="22"/>
                <w:szCs w:val="24"/>
                <w:bdr w:val="nil"/>
                <w:rtl w:val="0"/>
              </w:rPr>
              <w:t>Klíčové kompetence</w:t>
            </w:r>
          </w:p>
        </w:tc>
        <w:tc>
          <w:tcPr>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center"/>
              <w:rPr>
                <w:rStyle w:val="DefaultParagraphFont"/>
                <w:rFonts w:asciiTheme="minorHAnsi" w:eastAsiaTheme="minorEastAsia" w:hAnsiTheme="minorHAnsi"/>
                <w:sz w:val="22"/>
                <w:bdr w:val="nil"/>
                <w:rtl w:val="0"/>
              </w:rPr>
            </w:pPr>
            <w:r>
              <w:rPr>
                <w:rStyle w:val="DefaultParagraphFont"/>
                <w:rFonts w:ascii="Calibri" w:eastAsia="Calibri" w:hAnsi="Calibri" w:cs="Calibri"/>
                <w:b/>
                <w:bCs/>
                <w:i w:val="0"/>
                <w:iCs w:val="0"/>
                <w:smallCaps w:val="0"/>
                <w:color w:val="auto"/>
                <w:sz w:val="22"/>
                <w:szCs w:val="24"/>
                <w:bdr w:val="nil"/>
                <w:rtl w:val="0"/>
              </w:rPr>
              <w:t>Dílčí cíle</w:t>
            </w:r>
          </w:p>
        </w:tc>
        <w:tc>
          <w:tcPr>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center"/>
              <w:rPr>
                <w:rStyle w:val="DefaultParagraphFont"/>
                <w:rFonts w:asciiTheme="minorHAnsi" w:eastAsiaTheme="minorEastAsia" w:hAnsiTheme="minorHAnsi"/>
                <w:sz w:val="22"/>
                <w:bdr w:val="nil"/>
                <w:rtl w:val="0"/>
              </w:rPr>
            </w:pPr>
            <w:r>
              <w:rPr>
                <w:rStyle w:val="DefaultParagraphFont"/>
                <w:rFonts w:ascii="Calibri" w:eastAsia="Calibri" w:hAnsi="Calibri" w:cs="Calibri"/>
                <w:b/>
                <w:bCs/>
                <w:i w:val="0"/>
                <w:iCs w:val="0"/>
                <w:smallCaps w:val="0"/>
                <w:color w:val="auto"/>
                <w:sz w:val="22"/>
                <w:szCs w:val="24"/>
                <w:bdr w:val="nil"/>
                <w:rtl w:val="0"/>
              </w:rPr>
              <w:t>Očekávané výstupy</w:t>
            </w:r>
          </w:p>
        </w:tc>
      </w:tr>
      <w:tr>
        <w:tblPrEx>
          <w:tblW w:w="5000" w:type="pct"/>
          <w:tblInd w:w="0" w:type="dxa"/>
          <w:tblCellMar>
            <w:top w:w="0" w:type="dxa"/>
            <w:left w:w="15" w:type="dxa"/>
            <w:bottom w:w="0" w:type="dxa"/>
            <w:right w:w="15" w:type="dxa"/>
          </w:tblCellMar>
        </w:tblPrEx>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ovládá řeč, hovoří ve vhodně formulovaných větách, samostatně vyjadřuje své myšlenky, sdělení, otázky i odpovědi, rozumí slyšenému, slovně reaguje a vede smysluplný dialog</w:t>
            </w:r>
          </w:p>
        </w:tc>
        <w:tc>
          <w:tcPr>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rozvoj komunikativních dovedností (verbálních i neverbálních) a kultivovaného projevu</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chápat slovní vtip a humor</w:t>
            </w:r>
          </w:p>
        </w:tc>
      </w:tr>
      <w:tr>
        <w:tblPrEx>
          <w:tblW w:w="5000" w:type="pct"/>
          <w:tblInd w:w="0" w:type="dxa"/>
          <w:tblCellMar>
            <w:top w:w="0" w:type="dxa"/>
            <w:left w:w="15" w:type="dxa"/>
            <w:bottom w:w="0" w:type="dxa"/>
            <w:right w:w="15" w:type="dxa"/>
          </w:tblCellMar>
        </w:tblPrEx>
        <w:tc>
          <w:tcPr>
            <w:tcW w:w="1650" w:type="pct"/>
            <w:vMerge/>
            <w:tcBorders>
              <w:top w:val="inset" w:sz="6" w:space="0" w:color="808080"/>
              <w:left w:val="inset" w:sz="6" w:space="0" w:color="808080"/>
              <w:bottom w:val="inset" w:sz="6" w:space="0" w:color="808080"/>
              <w:right w:val="inset" w:sz="6" w:space="0" w:color="808080"/>
            </w:tcBorders>
          </w:tcPr>
          <w:p>
            <w:pPr>
              <w:spacing w:line="312" w:lineRule="auto"/>
              <w:jc w:val="both"/>
              <w:rPr>
                <w:rStyle w:val="DefaultParagraphFont"/>
                <w:rFonts w:asciiTheme="minorHAnsi" w:eastAsiaTheme="minorEastAsia" w:hAnsiTheme="minorHAnsi"/>
                <w:sz w:val="22"/>
              </w:rPr>
            </w:pPr>
          </w:p>
        </w:tc>
        <w:tc>
          <w:tcPr>
            <w:vMerge/>
            <w:tcBorders>
              <w:top w:val="inset" w:sz="6" w:space="0" w:color="808080"/>
              <w:left w:val="inset" w:sz="6" w:space="0" w:color="808080"/>
              <w:bottom w:val="inset" w:sz="6" w:space="0" w:color="808080"/>
              <w:right w:val="inset" w:sz="6" w:space="0" w:color="808080"/>
            </w:tcBorders>
          </w:tcPr>
          <w:p>
            <w:pPr>
              <w:spacing w:before="0" w:beforeAutospacing="0" w:after="0" w:afterAutospacing="0" w:line="240" w:lineRule="auto"/>
              <w:jc w:val="both"/>
              <w:rPr>
                <w:rStyle w:val="DefaultParagraphFont"/>
                <w:rFonts w:asciiTheme="minorHAnsi" w:eastAsiaTheme="minorEastAsia" w:hAnsiTheme="minorHAnsi"/>
                <w:sz w:val="22"/>
                <w:bdr w:val="nil"/>
                <w:rtl w:val="0"/>
              </w:rPr>
            </w:pP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porozumět slyšenému (zachytit hlavní myšlenku příběhu, sledovat děj a zopakovat jej ve správných větách)</w:t>
            </w:r>
          </w:p>
        </w:tc>
      </w:tr>
      <w:tr>
        <w:tblPrEx>
          <w:tblW w:w="5000" w:type="pct"/>
          <w:tblInd w:w="0" w:type="dxa"/>
          <w:tblCellMar>
            <w:top w:w="0" w:type="dxa"/>
            <w:left w:w="15" w:type="dxa"/>
            <w:bottom w:w="0" w:type="dxa"/>
            <w:right w:w="15" w:type="dxa"/>
          </w:tblCellMar>
        </w:tblPrEx>
        <w:tc>
          <w:tcPr>
            <w:tcW w:w="1650" w:type="pct"/>
            <w:vMerge/>
            <w:tcBorders>
              <w:top w:val="inset" w:sz="6" w:space="0" w:color="808080"/>
              <w:left w:val="inset" w:sz="6" w:space="0" w:color="808080"/>
              <w:bottom w:val="inset" w:sz="6" w:space="0" w:color="808080"/>
              <w:right w:val="inset" w:sz="6" w:space="0" w:color="808080"/>
            </w:tcBorders>
          </w:tcPr>
          <w:p>
            <w:pPr>
              <w:spacing w:line="312" w:lineRule="auto"/>
              <w:jc w:val="both"/>
              <w:rPr>
                <w:rStyle w:val="DefaultParagraphFont"/>
                <w:rFonts w:asciiTheme="minorHAnsi" w:eastAsiaTheme="minorEastAsia" w:hAnsiTheme="minorHAnsi"/>
                <w:sz w:val="22"/>
              </w:rPr>
            </w:pPr>
          </w:p>
        </w:tc>
        <w:tc>
          <w:tcPr>
            <w:vMerge/>
            <w:tcBorders>
              <w:top w:val="inset" w:sz="6" w:space="0" w:color="808080"/>
              <w:left w:val="inset" w:sz="6" w:space="0" w:color="808080"/>
              <w:bottom w:val="inset" w:sz="6" w:space="0" w:color="808080"/>
              <w:right w:val="inset" w:sz="6" w:space="0" w:color="808080"/>
            </w:tcBorders>
          </w:tcPr>
          <w:p>
            <w:pPr>
              <w:spacing w:before="0" w:beforeAutospacing="0" w:after="0" w:afterAutospacing="0" w:line="240" w:lineRule="auto"/>
              <w:jc w:val="both"/>
              <w:rPr>
                <w:rStyle w:val="DefaultParagraphFont"/>
                <w:rFonts w:asciiTheme="minorHAnsi" w:eastAsiaTheme="minorEastAsia" w:hAnsiTheme="minorHAnsi"/>
                <w:sz w:val="22"/>
                <w:bdr w:val="nil"/>
                <w:rtl w:val="0"/>
              </w:rPr>
            </w:pP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domluvit se slovy i gesty, improvizovat</w:t>
            </w:r>
          </w:p>
        </w:tc>
      </w:tr>
      <w:tr>
        <w:tblPrEx>
          <w:tblW w:w="5000" w:type="pct"/>
          <w:tblInd w:w="0" w:type="dxa"/>
          <w:tblCellMar>
            <w:top w:w="0" w:type="dxa"/>
            <w:left w:w="15" w:type="dxa"/>
            <w:bottom w:w="0" w:type="dxa"/>
            <w:right w:w="15" w:type="dxa"/>
          </w:tblCellMar>
        </w:tblPrEx>
        <w:tc>
          <w:tcPr>
            <w:tcW w:w="1650" w:type="pct"/>
            <w:vMerge/>
            <w:tcBorders>
              <w:top w:val="inset" w:sz="6" w:space="0" w:color="808080"/>
              <w:left w:val="inset" w:sz="6" w:space="0" w:color="808080"/>
              <w:bottom w:val="inset" w:sz="6" w:space="0" w:color="808080"/>
              <w:right w:val="inset" w:sz="6" w:space="0" w:color="808080"/>
            </w:tcBorders>
          </w:tcPr>
          <w:p>
            <w:pPr>
              <w:spacing w:line="312" w:lineRule="auto"/>
              <w:jc w:val="both"/>
              <w:rPr>
                <w:rStyle w:val="DefaultParagraphFont"/>
                <w:rFonts w:asciiTheme="minorHAnsi" w:eastAsiaTheme="minorEastAsia" w:hAnsiTheme="minorHAnsi"/>
                <w:sz w:val="22"/>
              </w:rPr>
            </w:pPr>
          </w:p>
        </w:tc>
        <w:tc>
          <w:tcPr>
            <w:vMerge/>
            <w:tcBorders>
              <w:top w:val="inset" w:sz="6" w:space="0" w:color="808080"/>
              <w:left w:val="inset" w:sz="6" w:space="0" w:color="808080"/>
              <w:bottom w:val="inset" w:sz="6" w:space="0" w:color="808080"/>
              <w:right w:val="inset" w:sz="6" w:space="0" w:color="808080"/>
            </w:tcBorders>
          </w:tcPr>
          <w:p>
            <w:pPr>
              <w:spacing w:before="0" w:beforeAutospacing="0" w:after="0" w:afterAutospacing="0" w:line="240" w:lineRule="auto"/>
              <w:jc w:val="both"/>
              <w:rPr>
                <w:rStyle w:val="DefaultParagraphFont"/>
                <w:rFonts w:asciiTheme="minorHAnsi" w:eastAsiaTheme="minorEastAsia" w:hAnsiTheme="minorHAnsi"/>
                <w:sz w:val="22"/>
                <w:bdr w:val="nil"/>
                <w:rtl w:val="0"/>
              </w:rPr>
            </w:pP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správně vyslovovat, ovládat dech, tempo i intonaci řeči</w:t>
            </w:r>
          </w:p>
        </w:tc>
      </w:tr>
      <w:tr>
        <w:tblPrEx>
          <w:tblW w:w="5000" w:type="pct"/>
          <w:tblInd w:w="0" w:type="dxa"/>
          <w:tblCellMar>
            <w:top w:w="0" w:type="dxa"/>
            <w:left w:w="15" w:type="dxa"/>
            <w:bottom w:w="0" w:type="dxa"/>
            <w:right w:w="15" w:type="dxa"/>
          </w:tblCellMar>
        </w:tblPrEx>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se učí svoje činnosti a hry plánovat, organizovat, řídit a vyhodnocovat</w:t>
            </w:r>
          </w:p>
        </w:tc>
        <w:tc>
          <w:tcPr>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poznávání sebe sama, rozvoj pozitivních citů ve vztahu k sobě (uvědomění si vlastní identity, získání sebevědomí, sebedůvěry, osobní spokojenosti)</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zorganizovat hru</w:t>
            </w:r>
          </w:p>
        </w:tc>
      </w:tr>
      <w:tr>
        <w:tblPrEx>
          <w:tblW w:w="5000" w:type="pct"/>
          <w:tblInd w:w="0" w:type="dxa"/>
          <w:tblCellMar>
            <w:top w:w="0" w:type="dxa"/>
            <w:left w:w="15" w:type="dxa"/>
            <w:bottom w:w="0" w:type="dxa"/>
            <w:right w:w="15" w:type="dxa"/>
          </w:tblCellMar>
        </w:tblPrEx>
        <w:tc>
          <w:tcPr>
            <w:tcW w:w="1650" w:type="pct"/>
            <w:vMerge/>
            <w:tcBorders>
              <w:top w:val="inset" w:sz="6" w:space="0" w:color="808080"/>
              <w:left w:val="inset" w:sz="6" w:space="0" w:color="808080"/>
              <w:bottom w:val="inset" w:sz="6" w:space="0" w:color="808080"/>
              <w:right w:val="inset" w:sz="6" w:space="0" w:color="808080"/>
            </w:tcBorders>
          </w:tcPr>
          <w:p>
            <w:pPr>
              <w:spacing w:line="312" w:lineRule="auto"/>
              <w:jc w:val="both"/>
              <w:rPr>
                <w:rStyle w:val="DefaultParagraphFont"/>
                <w:rFonts w:asciiTheme="minorHAnsi" w:eastAsiaTheme="minorEastAsia" w:hAnsiTheme="minorHAnsi"/>
                <w:sz w:val="22"/>
              </w:rPr>
            </w:pPr>
          </w:p>
        </w:tc>
        <w:tc>
          <w:tcPr>
            <w:vMerge/>
            <w:tcBorders>
              <w:top w:val="inset" w:sz="6" w:space="0" w:color="808080"/>
              <w:left w:val="inset" w:sz="6" w:space="0" w:color="808080"/>
              <w:bottom w:val="inset" w:sz="6" w:space="0" w:color="808080"/>
              <w:right w:val="inset" w:sz="6" w:space="0" w:color="808080"/>
            </w:tcBorders>
          </w:tcPr>
          <w:p>
            <w:pPr>
              <w:spacing w:before="0" w:beforeAutospacing="0" w:after="0" w:afterAutospacing="0" w:line="240" w:lineRule="auto"/>
              <w:jc w:val="both"/>
              <w:rPr>
                <w:rStyle w:val="DefaultParagraphFont"/>
                <w:rFonts w:asciiTheme="minorHAnsi" w:eastAsiaTheme="minorEastAsia" w:hAnsiTheme="minorHAnsi"/>
                <w:sz w:val="22"/>
                <w:bdr w:val="nil"/>
                <w:rtl w:val="0"/>
              </w:rPr>
            </w:pP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přijímat pozitivní ocenění i svůj případný neúspěch a vyrovnat se s ním, učit se hodnotit svoje osobní pokroky</w:t>
            </w:r>
          </w:p>
        </w:tc>
      </w:tr>
      <w:tr>
        <w:tblPrEx>
          <w:tblW w:w="5000" w:type="pct"/>
          <w:tblInd w:w="0" w:type="dxa"/>
          <w:tblCellMar>
            <w:top w:w="0" w:type="dxa"/>
            <w:left w:w="15" w:type="dxa"/>
            <w:bottom w:w="0" w:type="dxa"/>
            <w:right w:w="15" w:type="dxa"/>
          </w:tblCellMar>
        </w:tblPrEx>
        <w:tc>
          <w:tcPr>
            <w:tcW w:w="1650" w:type="pct"/>
            <w:vMerge/>
            <w:tcBorders>
              <w:top w:val="inset" w:sz="6" w:space="0" w:color="808080"/>
              <w:left w:val="inset" w:sz="6" w:space="0" w:color="808080"/>
              <w:bottom w:val="inset" w:sz="6" w:space="0" w:color="808080"/>
              <w:right w:val="inset" w:sz="6" w:space="0" w:color="808080"/>
            </w:tcBorders>
          </w:tcPr>
          <w:p>
            <w:pPr>
              <w:spacing w:line="312" w:lineRule="auto"/>
              <w:jc w:val="both"/>
              <w:rPr>
                <w:rStyle w:val="DefaultParagraphFont"/>
                <w:rFonts w:asciiTheme="minorHAnsi" w:eastAsiaTheme="minorEastAsia" w:hAnsiTheme="minorHAnsi"/>
                <w:sz w:val="22"/>
              </w:rPr>
            </w:pPr>
          </w:p>
        </w:tc>
        <w:tc>
          <w:tcPr>
            <w:vMerge/>
            <w:tcBorders>
              <w:top w:val="inset" w:sz="6" w:space="0" w:color="808080"/>
              <w:left w:val="inset" w:sz="6" w:space="0" w:color="808080"/>
              <w:bottom w:val="inset" w:sz="6" w:space="0" w:color="808080"/>
              <w:right w:val="inset" w:sz="6" w:space="0" w:color="808080"/>
            </w:tcBorders>
          </w:tcPr>
          <w:p>
            <w:pPr>
              <w:spacing w:before="0" w:beforeAutospacing="0" w:after="0" w:afterAutospacing="0" w:line="240" w:lineRule="auto"/>
              <w:jc w:val="both"/>
              <w:rPr>
                <w:rStyle w:val="DefaultParagraphFont"/>
                <w:rFonts w:asciiTheme="minorHAnsi" w:eastAsiaTheme="minorEastAsia" w:hAnsiTheme="minorHAnsi"/>
                <w:sz w:val="22"/>
                <w:bdr w:val="nil"/>
                <w:rtl w:val="0"/>
              </w:rPr>
            </w:pP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vyjádřit souhlas i nesouhlas, říci „ne“ v situacích, které to vyžadují (v ohrožujících, nebezpečných či neznámých situacích), odmítnout se podílet na nedovolených či zakázaných činnostech apod.</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uplatňuje získanou zkušenost v praktických situacích a v dalším učení</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rozvoj interaktivních a komunikativních dovedností verbálních i neverbálních</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porozumět běžným projevům vyjádření emocí a nálad</w:t>
            </w:r>
          </w:p>
        </w:tc>
      </w:tr>
      <w:tr>
        <w:tblPrEx>
          <w:tblW w:w="5000" w:type="pct"/>
          <w:tblInd w:w="0" w:type="dxa"/>
          <w:tblCellMar>
            <w:top w:w="0" w:type="dxa"/>
            <w:left w:w="15" w:type="dxa"/>
            <w:bottom w:w="0" w:type="dxa"/>
            <w:right w:w="15" w:type="dxa"/>
          </w:tblCellMar>
        </w:tblPrEx>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si uvědomuje, že za sebe i své jednání odpovídá a nese důsledky</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vytvoření povědomí o mezilidských morálních hodnotách</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chovat se a jednat na základě vlastních pohnutek a zároveň s ohledem na druhé</w:t>
            </w:r>
          </w:p>
        </w:tc>
      </w:tr>
      <w:tr>
        <w:tblPrEx>
          <w:tblW w:w="5000" w:type="pct"/>
          <w:tblInd w:w="0" w:type="dxa"/>
          <w:tblCellMar>
            <w:top w:w="0" w:type="dxa"/>
            <w:left w:w="15" w:type="dxa"/>
            <w:bottom w:w="0" w:type="dxa"/>
            <w:right w:w="15" w:type="dxa"/>
          </w:tblCellMar>
        </w:tblPrEx>
        <w:tc>
          <w:tcPr>
            <w:tcW w:w="1650" w:type="pct"/>
            <w:vMerge/>
            <w:tcBorders>
              <w:top w:val="inset" w:sz="6" w:space="0" w:color="808080"/>
              <w:left w:val="inset" w:sz="6" w:space="0" w:color="808080"/>
              <w:bottom w:val="inset" w:sz="6" w:space="0" w:color="808080"/>
              <w:right w:val="inset" w:sz="6" w:space="0" w:color="808080"/>
            </w:tcBorders>
          </w:tcPr>
          <w:p>
            <w:pPr>
              <w:spacing w:line="312" w:lineRule="auto"/>
              <w:jc w:val="both"/>
              <w:rPr>
                <w:rStyle w:val="DefaultParagraphFont"/>
                <w:rFonts w:asciiTheme="minorHAnsi" w:eastAsiaTheme="minorEastAsia" w:hAnsiTheme="minorHAnsi"/>
                <w:sz w:val="22"/>
              </w:rPr>
            </w:pP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rozvoj základních kulturně společenských postojů, návyků a dovedností dítěte, rozvoj schopnosti projevovat se autenticky, chovat se autonomně, prosociálně a aktivně se přizpůsobovat společenskému prostředí a zvládat jeho změny</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porozumět běžným neverbálním projevům citových prožitků a nálad druhých</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odhaduje rizika svých nápadů, jde za svým záměrem, ale také dokáže měnit cesty a přizpůsobovat se daným okolnostem</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rozvoj fyzické i psychické zdatnosti</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ovládat koordinaci ruky a oka, zvládat jemnou motoriku (zacházet s předměty denní potřeby, s drobnými pomůckami, s nástroji, náčiním a materiálem, zacházet s grafickým a výtvarným materiálem, např. s tužkami, barvami, nůžkami, papírem, modelovací hmotou, zacházet s jednoduchými hudebními nástroji apod.)</w:t>
            </w:r>
          </w:p>
        </w:tc>
      </w:tr>
      <w:tr>
        <w:tblPrEx>
          <w:tblW w:w="5000" w:type="pct"/>
          <w:tblInd w:w="0" w:type="dxa"/>
          <w:tblCellMar>
            <w:top w:w="0" w:type="dxa"/>
            <w:left w:w="15" w:type="dxa"/>
            <w:bottom w:w="0" w:type="dxa"/>
            <w:right w:w="15" w:type="dxa"/>
          </w:tblCellMar>
        </w:tblPrEx>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užívá při řešení myšlenkových i praktických problémů logických, matematických i empirických postupů; pochopí jednoduché algoritmy řešení různých úloh a situací a využívá je v dalších situacích</w:t>
            </w:r>
          </w:p>
        </w:tc>
        <w:tc>
          <w:tcPr>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vytváření základů pro práci s informacemi</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nalézat nová řešení nebo alternativní k běžným</w:t>
            </w:r>
          </w:p>
        </w:tc>
      </w:tr>
      <w:tr>
        <w:tblPrEx>
          <w:tblW w:w="5000" w:type="pct"/>
          <w:tblInd w:w="0" w:type="dxa"/>
          <w:tblCellMar>
            <w:top w:w="0" w:type="dxa"/>
            <w:left w:w="15" w:type="dxa"/>
            <w:bottom w:w="0" w:type="dxa"/>
            <w:right w:w="15" w:type="dxa"/>
          </w:tblCellMar>
        </w:tblPrEx>
        <w:tc>
          <w:tcPr>
            <w:tcW w:w="1650" w:type="pct"/>
            <w:vMerge/>
            <w:tcBorders>
              <w:top w:val="inset" w:sz="6" w:space="0" w:color="808080"/>
              <w:left w:val="inset" w:sz="6" w:space="0" w:color="808080"/>
              <w:bottom w:val="inset" w:sz="6" w:space="0" w:color="808080"/>
              <w:right w:val="inset" w:sz="6" w:space="0" w:color="808080"/>
            </w:tcBorders>
          </w:tcPr>
          <w:p>
            <w:pPr>
              <w:spacing w:line="312" w:lineRule="auto"/>
              <w:jc w:val="both"/>
              <w:rPr>
                <w:rStyle w:val="DefaultParagraphFont"/>
                <w:rFonts w:asciiTheme="minorHAnsi" w:eastAsiaTheme="minorEastAsia" w:hAnsiTheme="minorHAnsi"/>
                <w:sz w:val="22"/>
              </w:rPr>
            </w:pPr>
          </w:p>
        </w:tc>
        <w:tc>
          <w:tcPr>
            <w:vMerge/>
            <w:tcBorders>
              <w:top w:val="inset" w:sz="6" w:space="0" w:color="808080"/>
              <w:left w:val="inset" w:sz="6" w:space="0" w:color="808080"/>
              <w:bottom w:val="inset" w:sz="6" w:space="0" w:color="808080"/>
              <w:right w:val="inset" w:sz="6" w:space="0" w:color="808080"/>
            </w:tcBorders>
          </w:tcPr>
          <w:p>
            <w:pPr>
              <w:spacing w:before="0" w:beforeAutospacing="0" w:after="0" w:afterAutospacing="0" w:line="240" w:lineRule="auto"/>
              <w:jc w:val="both"/>
              <w:rPr>
                <w:rStyle w:val="DefaultParagraphFont"/>
                <w:rFonts w:asciiTheme="minorHAnsi" w:eastAsiaTheme="minorEastAsia" w:hAnsiTheme="minorHAnsi"/>
                <w:sz w:val="22"/>
                <w:bdr w:val="nil"/>
                <w:rtl w:val="0"/>
              </w:rPr>
            </w:pP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přemýšlet, vést jednoduché úvahy a to, o čem přemýšlí a uvažuje, také vyjádřit</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chápe, že zájem o to, co se kolem děje, činorodost, pracovitost a podnikavost jsou přínosem a že naopak lhostejnost, nevšímavost, pohodlnost a nízká aktivita mají svoje nepříznivé důsledky</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vytváření elementárního povědomí o širším přírodním, kulturním i technickém prostředí, o jejich rozmanitosti, vývoji a neustálých proměnách</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mít povědomí o širším společenském, věcném, přírodním, kulturním i technickém prostředí i jeho dění v rozsahu praktických zkušeností a dostupných praktických ukázek v okolí dítěte</w:t>
            </w:r>
          </w:p>
        </w:tc>
      </w:tr>
    </w:tbl>
    <w:p>
      <w:pPr>
        <w:bidi w:val="0"/>
        <w:rPr>
          <w:rStyle w:val="DefaultParagraphFont"/>
          <w:bdr w:val="nil"/>
          <w:rtl w:val="0"/>
        </w:rPr>
      </w:pPr>
      <w:r>
        <w:rPr>
          <w:rStyle w:val="DefaultParagraphFont"/>
          <w:bdr w:val="nil"/>
          <w:rtl w:val="0"/>
        </w:rPr>
        <w:t>    </w:t>
      </w:r>
    </w:p>
    <w:p>
      <w:pPr>
        <w:pStyle w:val="Heading4"/>
        <w:bidi w:val="0"/>
        <w:spacing w:before="319" w:after="319"/>
        <w:rPr>
          <w:rStyle w:val="DefaultParagraphFont"/>
          <w:bdr w:val="nil"/>
          <w:rtl w:val="0"/>
        </w:rPr>
      </w:pPr>
      <w:r>
        <w:rPr>
          <w:rStyle w:val="DefaultParagraphFont"/>
          <w:b/>
          <w:bCs/>
          <w:sz w:val="24"/>
          <w:szCs w:val="24"/>
          <w:bdr w:val="nil"/>
          <w:rtl w:val="0"/>
        </w:rPr>
        <w:t>f) Volné bloky - doprava, vesmír, naše Země, zdraví </w:t>
      </w:r>
    </w:p>
    <w:tbl>
      <w:tblPr>
        <w:tblStyle w:val="TabulkaIB"/>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5" w:type="dxa"/>
          <w:bottom w:w="0" w:type="dxa"/>
          <w:right w:w="15" w:type="dxa"/>
        </w:tblCellMar>
      </w:tblPr>
      <w:tblGrid>
        <w:gridCol w:w="4525"/>
        <w:gridCol w:w="9188"/>
      </w:tblGrid>
      <w:tr>
        <w:tblPrEx>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5" w:type="dxa"/>
            <w:bottom w:w="0" w:type="dxa"/>
            <w:right w:w="15" w:type="dxa"/>
          </w:tblCellMar>
        </w:tblPrEx>
        <w:trPr>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Název integrovaného bloku</w:t>
            </w:r>
          </w:p>
        </w:tc>
        <w:tc>
          <w:tcPr>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center"/>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f) Volné bloky - doprava, vesmír, naše Země, zdraví</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pPr>
              <w:shd w:val="clear" w:color="auto" w:fill="DEEAF6"/>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Oblast</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Dítě a jeho tělo, Dítě a jeho psychika, Dítě a ten druhý, Dítě a společnost, Dítě a svět</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pPr>
              <w:shd w:val="clear" w:color="auto" w:fill="DEEAF6"/>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Charakteristika integrovaného bloku</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Děti se seznamují se svým okolí, zemí, ve které žijí, jejími zvyky a tradicemi. Dozvídají se ale i o jiných zemích, jiných kulturách. Učí se starat o své zdraví a upevňovat si znalosti o bezpečném chování. K tomu se pojí i téma dopravy a bezpečné chování na silnici.</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pPr>
              <w:shd w:val="clear" w:color="auto" w:fill="DEEAF6"/>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Návrhy dílčích témat pro realizaci</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doprava</w:t>
            </w:r>
          </w:p>
        </w:tc>
      </w:tr>
    </w:tbl>
    <w:p>
      <w:pPr>
        <w:bidi w:val="0"/>
        <w:rPr>
          <w:rStyle w:val="DefaultParagraphFont"/>
          <w:bdr w:val="nil"/>
          <w:rtl w:val="0"/>
        </w:rPr>
      </w:pPr>
      <w:r>
        <w:rPr>
          <w:rStyle w:val="DefaultParagraphFont"/>
          <w:bdr w:val="nil"/>
          <w:rtl w:val="0"/>
        </w:rPr>
        <w:t>   </w:t>
      </w:r>
    </w:p>
    <w:tbl>
      <w:tblPr>
        <w:tblStyle w:val="TabulkaIB"/>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5" w:type="dxa"/>
          <w:bottom w:w="0" w:type="dxa"/>
          <w:right w:w="15" w:type="dxa"/>
        </w:tblCellMar>
      </w:tblPr>
      <w:tblGrid>
        <w:gridCol w:w="4525"/>
        <w:gridCol w:w="4638"/>
        <w:gridCol w:w="4550"/>
      </w:tblGrid>
      <w:tr>
        <w:tblPrEx>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5" w:type="dxa"/>
            <w:bottom w:w="0" w:type="dxa"/>
            <w:right w:w="15" w:type="dxa"/>
          </w:tblCellMar>
        </w:tblPrEx>
        <w:trPr>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center"/>
              <w:rPr>
                <w:rStyle w:val="DefaultParagraphFont"/>
                <w:rFonts w:asciiTheme="minorHAnsi" w:eastAsiaTheme="minorEastAsia" w:hAnsiTheme="minorHAnsi"/>
                <w:sz w:val="22"/>
                <w:bdr w:val="nil"/>
                <w:rtl w:val="0"/>
              </w:rPr>
            </w:pPr>
            <w:r>
              <w:rPr>
                <w:rStyle w:val="DefaultParagraphFont"/>
                <w:rFonts w:ascii="Calibri" w:eastAsia="Calibri" w:hAnsi="Calibri" w:cs="Calibri"/>
                <w:b/>
                <w:bCs/>
                <w:i w:val="0"/>
                <w:iCs w:val="0"/>
                <w:smallCaps w:val="0"/>
                <w:color w:val="auto"/>
                <w:sz w:val="22"/>
                <w:szCs w:val="24"/>
                <w:bdr w:val="nil"/>
                <w:rtl w:val="0"/>
              </w:rPr>
              <w:t>Klíčové kompetence</w:t>
            </w:r>
          </w:p>
        </w:tc>
        <w:tc>
          <w:tcPr>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center"/>
              <w:rPr>
                <w:rStyle w:val="DefaultParagraphFont"/>
                <w:rFonts w:asciiTheme="minorHAnsi" w:eastAsiaTheme="minorEastAsia" w:hAnsiTheme="minorHAnsi"/>
                <w:sz w:val="22"/>
                <w:bdr w:val="nil"/>
                <w:rtl w:val="0"/>
              </w:rPr>
            </w:pPr>
            <w:r>
              <w:rPr>
                <w:rStyle w:val="DefaultParagraphFont"/>
                <w:rFonts w:ascii="Calibri" w:eastAsia="Calibri" w:hAnsi="Calibri" w:cs="Calibri"/>
                <w:b/>
                <w:bCs/>
                <w:i w:val="0"/>
                <w:iCs w:val="0"/>
                <w:smallCaps w:val="0"/>
                <w:color w:val="auto"/>
                <w:sz w:val="22"/>
                <w:szCs w:val="24"/>
                <w:bdr w:val="nil"/>
                <w:rtl w:val="0"/>
              </w:rPr>
              <w:t>Dílčí cíle</w:t>
            </w:r>
          </w:p>
        </w:tc>
        <w:tc>
          <w:tcPr>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center"/>
              <w:rPr>
                <w:rStyle w:val="DefaultParagraphFont"/>
                <w:rFonts w:asciiTheme="minorHAnsi" w:eastAsiaTheme="minorEastAsia" w:hAnsiTheme="minorHAnsi"/>
                <w:sz w:val="22"/>
                <w:bdr w:val="nil"/>
                <w:rtl w:val="0"/>
              </w:rPr>
            </w:pPr>
            <w:r>
              <w:rPr>
                <w:rStyle w:val="DefaultParagraphFont"/>
                <w:rFonts w:ascii="Calibri" w:eastAsia="Calibri" w:hAnsi="Calibri" w:cs="Calibri"/>
                <w:b/>
                <w:bCs/>
                <w:i w:val="0"/>
                <w:iCs w:val="0"/>
                <w:smallCaps w:val="0"/>
                <w:color w:val="auto"/>
                <w:sz w:val="22"/>
                <w:szCs w:val="24"/>
                <w:bdr w:val="nil"/>
                <w:rtl w:val="0"/>
              </w:rPr>
              <w:t>Očekávané výstupy</w:t>
            </w:r>
          </w:p>
        </w:tc>
      </w:tr>
      <w:tr>
        <w:tblPrEx>
          <w:tblW w:w="5000" w:type="pct"/>
          <w:tblInd w:w="0" w:type="dxa"/>
          <w:tblCellMar>
            <w:top w:w="0" w:type="dxa"/>
            <w:left w:w="15" w:type="dxa"/>
            <w:bottom w:w="0" w:type="dxa"/>
            <w:right w:w="15" w:type="dxa"/>
          </w:tblCellMar>
        </w:tblPrEx>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soustředěně pozoruje, zkoumá, objevuje, všímá si souvislostí, experimentuje a užívá při tom jednoduchých pojmů, znaků a symbolů</w:t>
            </w:r>
          </w:p>
        </w:tc>
        <w:tc>
          <w:tcPr>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pochopení, že změny způsobené lidskou činností mohou prostředí chránit a zlepšovat, ale také poškozovat a ničit</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mít povědomí o významu životního prostředí (přírody i společnosti) pro člověka, uvědomovat si, že způsobem, jakým se dítě i ostatní v jeho okolí chovají, ovlivňují vlastní zdraví i životní prostředí</w:t>
            </w:r>
          </w:p>
        </w:tc>
      </w:tr>
      <w:tr>
        <w:tblPrEx>
          <w:tblW w:w="5000" w:type="pct"/>
          <w:tblInd w:w="0" w:type="dxa"/>
          <w:tblCellMar>
            <w:top w:w="0" w:type="dxa"/>
            <w:left w:w="15" w:type="dxa"/>
            <w:bottom w:w="0" w:type="dxa"/>
            <w:right w:w="15" w:type="dxa"/>
          </w:tblCellMar>
        </w:tblPrEx>
        <w:tc>
          <w:tcPr>
            <w:tcW w:w="1650" w:type="pct"/>
            <w:vMerge/>
            <w:tcBorders>
              <w:top w:val="inset" w:sz="6" w:space="0" w:color="808080"/>
              <w:left w:val="inset" w:sz="6" w:space="0" w:color="808080"/>
              <w:bottom w:val="inset" w:sz="6" w:space="0" w:color="808080"/>
              <w:right w:val="inset" w:sz="6" w:space="0" w:color="808080"/>
            </w:tcBorders>
          </w:tcPr>
          <w:p>
            <w:pPr>
              <w:spacing w:line="312" w:lineRule="auto"/>
              <w:jc w:val="both"/>
              <w:rPr>
                <w:rStyle w:val="DefaultParagraphFont"/>
                <w:rFonts w:asciiTheme="minorHAnsi" w:eastAsiaTheme="minorEastAsia" w:hAnsiTheme="minorHAnsi"/>
                <w:sz w:val="22"/>
              </w:rPr>
            </w:pPr>
          </w:p>
        </w:tc>
        <w:tc>
          <w:tcPr>
            <w:vMerge/>
            <w:tcBorders>
              <w:top w:val="inset" w:sz="6" w:space="0" w:color="808080"/>
              <w:left w:val="inset" w:sz="6" w:space="0" w:color="808080"/>
              <w:bottom w:val="inset" w:sz="6" w:space="0" w:color="808080"/>
              <w:right w:val="inset" w:sz="6" w:space="0" w:color="808080"/>
            </w:tcBorders>
          </w:tcPr>
          <w:p>
            <w:pPr>
              <w:spacing w:before="0" w:beforeAutospacing="0" w:after="0" w:afterAutospacing="0" w:line="240" w:lineRule="auto"/>
              <w:jc w:val="both"/>
              <w:rPr>
                <w:rStyle w:val="DefaultParagraphFont"/>
                <w:rFonts w:asciiTheme="minorHAnsi" w:eastAsiaTheme="minorEastAsia" w:hAnsiTheme="minorHAnsi"/>
                <w:sz w:val="22"/>
                <w:bdr w:val="nil"/>
                <w:rtl w:val="0"/>
              </w:rPr>
            </w:pP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rozlišovat aktivity, které mohou zdraví okolního prostředí podporovat a které je mohoupoškozovat, všímat si nepořádků a škod, upozornit na ně</w:t>
            </w:r>
          </w:p>
        </w:tc>
      </w:tr>
      <w:tr>
        <w:tblPrEx>
          <w:tblW w:w="5000" w:type="pct"/>
          <w:tblInd w:w="0" w:type="dxa"/>
          <w:tblCellMar>
            <w:top w:w="0" w:type="dxa"/>
            <w:left w:w="15" w:type="dxa"/>
            <w:bottom w:w="0" w:type="dxa"/>
            <w:right w:w="15" w:type="dxa"/>
          </w:tblCellMar>
        </w:tblPrEx>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řeší problémy, na které stačí; známé a opakující se situace se snaží řešit samostatně (na základě nápodoby či opakování), náročnější s oporou a pomocí dospělého</w:t>
            </w:r>
          </w:p>
        </w:tc>
        <w:tc>
          <w:tcPr>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rozvoj, zpřesňování a kultivace smyslového vnímání, přechod od konkrétně názorného myšlení k myšlení slovně-logickému (pojmovému), rozvoj paměti a pozornosti, přechod od bezděčných forem těchto funkcí k úmyslným, rozvoj a kultivace představivosti a fantazie</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řešit problémy, úkoly a situace, myslet kreativně, předkládat „nápady“</w:t>
            </w:r>
          </w:p>
        </w:tc>
      </w:tr>
      <w:tr>
        <w:tblPrEx>
          <w:tblW w:w="5000" w:type="pct"/>
          <w:tblInd w:w="0" w:type="dxa"/>
          <w:tblCellMar>
            <w:top w:w="0" w:type="dxa"/>
            <w:left w:w="15" w:type="dxa"/>
            <w:bottom w:w="0" w:type="dxa"/>
            <w:right w:w="15" w:type="dxa"/>
          </w:tblCellMar>
        </w:tblPrEx>
        <w:tc>
          <w:tcPr>
            <w:tcW w:w="1650" w:type="pct"/>
            <w:vMerge/>
            <w:tcBorders>
              <w:top w:val="inset" w:sz="6" w:space="0" w:color="808080"/>
              <w:left w:val="inset" w:sz="6" w:space="0" w:color="808080"/>
              <w:bottom w:val="inset" w:sz="6" w:space="0" w:color="808080"/>
              <w:right w:val="inset" w:sz="6" w:space="0" w:color="808080"/>
            </w:tcBorders>
          </w:tcPr>
          <w:p>
            <w:pPr>
              <w:spacing w:line="312" w:lineRule="auto"/>
              <w:jc w:val="both"/>
              <w:rPr>
                <w:rStyle w:val="DefaultParagraphFont"/>
                <w:rFonts w:asciiTheme="minorHAnsi" w:eastAsiaTheme="minorEastAsia" w:hAnsiTheme="minorHAnsi"/>
                <w:sz w:val="22"/>
              </w:rPr>
            </w:pPr>
          </w:p>
        </w:tc>
        <w:tc>
          <w:tcPr>
            <w:vMerge/>
            <w:tcBorders>
              <w:top w:val="inset" w:sz="6" w:space="0" w:color="808080"/>
              <w:left w:val="inset" w:sz="6" w:space="0" w:color="808080"/>
              <w:bottom w:val="inset" w:sz="6" w:space="0" w:color="808080"/>
              <w:right w:val="inset" w:sz="6" w:space="0" w:color="808080"/>
            </w:tcBorders>
          </w:tcPr>
          <w:p>
            <w:pPr>
              <w:spacing w:before="0" w:beforeAutospacing="0" w:after="0" w:afterAutospacing="0" w:line="240" w:lineRule="auto"/>
              <w:jc w:val="both"/>
              <w:rPr>
                <w:rStyle w:val="DefaultParagraphFont"/>
                <w:rFonts w:asciiTheme="minorHAnsi" w:eastAsiaTheme="minorEastAsia" w:hAnsiTheme="minorHAnsi"/>
                <w:sz w:val="22"/>
                <w:bdr w:val="nil"/>
                <w:rtl w:val="0"/>
              </w:rPr>
            </w:pP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vědomě využívat všech smyslů, záměrně pozorovat, postřehovat, všímat si (nového, změněného, chybějícího)</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má elementární poznatky o světě lidí, kultury, přírody i techniky, který dítě obklopuje, o jeho rozmanitostech a proměnách; orientuje se v řádu a dění v prostředí, ve kterém žije</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poznávání jiných kultur</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vnímat, že svět má svůj řád, že je rozmanitý a pozoruhodný, nekonečně pestrý a různorodý - jak svět přírody, tak i svět lidí (mít elementární povědomí o existenci různých národů a kultur, různých zemích, o planetě Zemi, vesmíru apod.)</w:t>
            </w:r>
          </w:p>
        </w:tc>
      </w:tr>
      <w:tr>
        <w:tblPrEx>
          <w:tblW w:w="5000" w:type="pct"/>
          <w:tblInd w:w="0" w:type="dxa"/>
          <w:tblCellMar>
            <w:top w:w="0" w:type="dxa"/>
            <w:left w:w="15" w:type="dxa"/>
            <w:bottom w:w="0" w:type="dxa"/>
            <w:right w:w="15" w:type="dxa"/>
          </w:tblCellMar>
        </w:tblPrEx>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se domlouvá gesty i slovy, rozlišuje některé symboly, rozumí jejich významu i funkci</w:t>
            </w:r>
          </w:p>
        </w:tc>
        <w:tc>
          <w:tcPr>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rozvoj řečových schopností a jazykových dovedností receptivních (vnímání, naslouchání, porozumění) i produktivních (výslovnosti, vytváření pojmů, mluvního projevu, vyjadřování)</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sledovat očima zleva doprava</w:t>
            </w:r>
          </w:p>
        </w:tc>
      </w:tr>
      <w:tr>
        <w:tblPrEx>
          <w:tblW w:w="5000" w:type="pct"/>
          <w:tblInd w:w="0" w:type="dxa"/>
          <w:tblCellMar>
            <w:top w:w="0" w:type="dxa"/>
            <w:left w:w="15" w:type="dxa"/>
            <w:bottom w:w="0" w:type="dxa"/>
            <w:right w:w="15" w:type="dxa"/>
          </w:tblCellMar>
        </w:tblPrEx>
        <w:tc>
          <w:tcPr>
            <w:tcW w:w="1650" w:type="pct"/>
            <w:vMerge/>
            <w:tcBorders>
              <w:top w:val="inset" w:sz="6" w:space="0" w:color="808080"/>
              <w:left w:val="inset" w:sz="6" w:space="0" w:color="808080"/>
              <w:bottom w:val="inset" w:sz="6" w:space="0" w:color="808080"/>
              <w:right w:val="inset" w:sz="6" w:space="0" w:color="808080"/>
            </w:tcBorders>
          </w:tcPr>
          <w:p>
            <w:pPr>
              <w:spacing w:line="312" w:lineRule="auto"/>
              <w:jc w:val="both"/>
              <w:rPr>
                <w:rStyle w:val="DefaultParagraphFont"/>
                <w:rFonts w:asciiTheme="minorHAnsi" w:eastAsiaTheme="minorEastAsia" w:hAnsiTheme="minorHAnsi"/>
                <w:sz w:val="22"/>
              </w:rPr>
            </w:pPr>
          </w:p>
        </w:tc>
        <w:tc>
          <w:tcPr>
            <w:vMerge/>
            <w:tcBorders>
              <w:top w:val="inset" w:sz="6" w:space="0" w:color="808080"/>
              <w:left w:val="inset" w:sz="6" w:space="0" w:color="808080"/>
              <w:bottom w:val="inset" w:sz="6" w:space="0" w:color="808080"/>
              <w:right w:val="inset" w:sz="6" w:space="0" w:color="808080"/>
            </w:tcBorders>
          </w:tcPr>
          <w:p>
            <w:pPr>
              <w:spacing w:before="0" w:beforeAutospacing="0" w:after="0" w:afterAutospacing="0" w:line="240" w:lineRule="auto"/>
              <w:jc w:val="both"/>
              <w:rPr>
                <w:rStyle w:val="DefaultParagraphFont"/>
                <w:rFonts w:asciiTheme="minorHAnsi" w:eastAsiaTheme="minorEastAsia" w:hAnsiTheme="minorHAnsi"/>
                <w:sz w:val="22"/>
                <w:bdr w:val="nil"/>
                <w:rtl w:val="0"/>
              </w:rPr>
            </w:pP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rozlišovat některé obrazné symboly (piktogramy, orientační a dopravní značky, označení nebezpečí apod.) a porozumět jejich významu i jejich komunikativní funkci</w:t>
            </w:r>
          </w:p>
        </w:tc>
      </w:tr>
      <w:tr>
        <w:tblPrEx>
          <w:tblW w:w="5000" w:type="pct"/>
          <w:tblInd w:w="0" w:type="dxa"/>
          <w:tblCellMar>
            <w:top w:w="0" w:type="dxa"/>
            <w:left w:w="15" w:type="dxa"/>
            <w:bottom w:w="0" w:type="dxa"/>
            <w:right w:w="15" w:type="dxa"/>
          </w:tblCellMar>
        </w:tblPrEx>
        <w:tc>
          <w:tcPr>
            <w:tcW w:w="1650" w:type="pct"/>
            <w:vMerge/>
            <w:tcBorders>
              <w:top w:val="inset" w:sz="6" w:space="0" w:color="808080"/>
              <w:left w:val="inset" w:sz="6" w:space="0" w:color="808080"/>
              <w:bottom w:val="inset" w:sz="6" w:space="0" w:color="808080"/>
              <w:right w:val="inset" w:sz="6" w:space="0" w:color="808080"/>
            </w:tcBorders>
          </w:tcPr>
          <w:p>
            <w:pPr>
              <w:spacing w:line="312" w:lineRule="auto"/>
              <w:jc w:val="both"/>
              <w:rPr>
                <w:rStyle w:val="DefaultParagraphFont"/>
                <w:rFonts w:asciiTheme="minorHAnsi" w:eastAsiaTheme="minorEastAsia" w:hAnsiTheme="minorHAnsi"/>
                <w:sz w:val="22"/>
              </w:rPr>
            </w:pPr>
          </w:p>
        </w:tc>
        <w:tc>
          <w:tcPr>
            <w:vMerge/>
            <w:tcBorders>
              <w:top w:val="inset" w:sz="6" w:space="0" w:color="808080"/>
              <w:left w:val="inset" w:sz="6" w:space="0" w:color="808080"/>
              <w:bottom w:val="inset" w:sz="6" w:space="0" w:color="808080"/>
              <w:right w:val="inset" w:sz="6" w:space="0" w:color="808080"/>
            </w:tcBorders>
          </w:tcPr>
          <w:p>
            <w:pPr>
              <w:spacing w:before="0" w:beforeAutospacing="0" w:after="0" w:afterAutospacing="0" w:line="240" w:lineRule="auto"/>
              <w:jc w:val="both"/>
              <w:rPr>
                <w:rStyle w:val="DefaultParagraphFont"/>
                <w:rFonts w:asciiTheme="minorHAnsi" w:eastAsiaTheme="minorEastAsia" w:hAnsiTheme="minorHAnsi"/>
                <w:sz w:val="22"/>
                <w:bdr w:val="nil"/>
                <w:rtl w:val="0"/>
              </w:rPr>
            </w:pP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učit se nová slova a aktivně je používat (ptát se na slova, kterým nerozumí)</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se chová při setkání s neznámými lidmi či v neznámých situacích obezřetně; nevhodné chování i komunikaci, která je mu nepříjemná, umí odmítnout</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ochrana osobního soukromí a bezpečí ve vztazích s druhými dětmi i dospělými</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chovat se obezřetně při setkání s neznámými dětmi, staršími i dospělými jedinci, v případě potřeby požádat druhého o pomoc (pro sebe i pro jiné dítě)</w:t>
            </w:r>
          </w:p>
        </w:tc>
      </w:tr>
      <w:tr>
        <w:tblPrEx>
          <w:tblW w:w="5000" w:type="pct"/>
          <w:tblInd w:w="0" w:type="dxa"/>
          <w:tblCellMar>
            <w:top w:w="0" w:type="dxa"/>
            <w:left w:w="15" w:type="dxa"/>
            <w:bottom w:w="0" w:type="dxa"/>
            <w:right w:w="15" w:type="dxa"/>
          </w:tblCellMar>
        </w:tblPrEx>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ví, že lidé se dorozumívají i jinými jazyky a že je možno se jim učit; má vytvořeny elementární předpoklady k učení se cizímu jazyku</w:t>
            </w:r>
          </w:p>
        </w:tc>
        <w:tc>
          <w:tcPr>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vytváření povědomí o existenci ostatních kultur a národností</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pochopit, že každý má ve společenství (v rodině, ve třídě, v herní skupině) svou roli, podle které je třeba se chovat</w:t>
            </w:r>
          </w:p>
        </w:tc>
      </w:tr>
      <w:tr>
        <w:tblPrEx>
          <w:tblW w:w="5000" w:type="pct"/>
          <w:tblInd w:w="0" w:type="dxa"/>
          <w:tblCellMar>
            <w:top w:w="0" w:type="dxa"/>
            <w:left w:w="15" w:type="dxa"/>
            <w:bottom w:w="0" w:type="dxa"/>
            <w:right w:w="15" w:type="dxa"/>
          </w:tblCellMar>
        </w:tblPrEx>
        <w:tc>
          <w:tcPr>
            <w:tcW w:w="1650" w:type="pct"/>
            <w:vMerge/>
            <w:tcBorders>
              <w:top w:val="inset" w:sz="6" w:space="0" w:color="808080"/>
              <w:left w:val="inset" w:sz="6" w:space="0" w:color="808080"/>
              <w:bottom w:val="inset" w:sz="6" w:space="0" w:color="808080"/>
              <w:right w:val="inset" w:sz="6" w:space="0" w:color="808080"/>
            </w:tcBorders>
          </w:tcPr>
          <w:p>
            <w:pPr>
              <w:spacing w:line="312" w:lineRule="auto"/>
              <w:jc w:val="both"/>
              <w:rPr>
                <w:rStyle w:val="DefaultParagraphFont"/>
                <w:rFonts w:asciiTheme="minorHAnsi" w:eastAsiaTheme="minorEastAsia" w:hAnsiTheme="minorHAnsi"/>
                <w:sz w:val="22"/>
              </w:rPr>
            </w:pPr>
          </w:p>
        </w:tc>
        <w:tc>
          <w:tcPr>
            <w:vMerge/>
            <w:tcBorders>
              <w:top w:val="inset" w:sz="6" w:space="0" w:color="808080"/>
              <w:left w:val="inset" w:sz="6" w:space="0" w:color="808080"/>
              <w:bottom w:val="inset" w:sz="6" w:space="0" w:color="808080"/>
              <w:right w:val="inset" w:sz="6" w:space="0" w:color="808080"/>
            </w:tcBorders>
          </w:tcPr>
          <w:p>
            <w:pPr>
              <w:spacing w:before="0" w:beforeAutospacing="0" w:after="0" w:afterAutospacing="0" w:line="240" w:lineRule="auto"/>
              <w:jc w:val="both"/>
              <w:rPr>
                <w:rStyle w:val="DefaultParagraphFont"/>
                <w:rFonts w:asciiTheme="minorHAnsi" w:eastAsiaTheme="minorEastAsia" w:hAnsiTheme="minorHAnsi"/>
                <w:sz w:val="22"/>
                <w:bdr w:val="nil"/>
                <w:rtl w:val="0"/>
              </w:rPr>
            </w:pP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uplatňovat návyky v základních formách společenského chování ve styku s dospělými i s dětmi (zdravit známé děti i dospělé, rozloučit se, poprosit, poděkovat, vzít si slovo až když druhý domluví, požádat o pomoc, vyslechnout sdělení, uposlechnout pokyn apod.)</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je schopno chápat, že lidé se různí, a umí být tolerantní k jejich odlišnostem a jedinečnostem</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vytvoření povědomí o vlastní sounáležitosti se světem, se živou a neživou přírodou, lidmi, společností, planetou Zemí</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uvědomovat si nebezpečí, se kterým se může ve svém okolí setkat, a mít povědomí o tom, jak se prakticky chránit (vědět, jak se nebezpečí vyhnout, kam se v případě potřeby obrátit o pomoc)</w:t>
            </w:r>
          </w:p>
        </w:tc>
      </w:tr>
      <w:tr>
        <w:tblPrEx>
          <w:tblW w:w="5000" w:type="pct"/>
          <w:tblInd w:w="0" w:type="dxa"/>
          <w:tblCellMar>
            <w:top w:w="0" w:type="dxa"/>
            <w:left w:w="15" w:type="dxa"/>
            <w:bottom w:w="0" w:type="dxa"/>
            <w:right w:w="15" w:type="dxa"/>
          </w:tblCellMar>
        </w:tblPrEx>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si uvědomuje svá práva i práva druhých, učí se je hájit a respektovat; chápe, že všichni lidé mají stejnou hodnotu</w:t>
            </w:r>
          </w:p>
        </w:tc>
        <w:tc>
          <w:tcPr>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rozvoj schopnosti sebeovládání</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těšit se z hezkých a příjemných zážitků, z přírodních i kulturních krás i setkávání se s uměním</w:t>
            </w:r>
          </w:p>
        </w:tc>
      </w:tr>
      <w:tr>
        <w:tblPrEx>
          <w:tblW w:w="5000" w:type="pct"/>
          <w:tblInd w:w="0" w:type="dxa"/>
          <w:tblCellMar>
            <w:top w:w="0" w:type="dxa"/>
            <w:left w:w="15" w:type="dxa"/>
            <w:bottom w:w="0" w:type="dxa"/>
            <w:right w:w="15" w:type="dxa"/>
          </w:tblCellMar>
        </w:tblPrEx>
        <w:tc>
          <w:tcPr>
            <w:tcW w:w="1650" w:type="pct"/>
            <w:vMerge/>
            <w:tcBorders>
              <w:top w:val="inset" w:sz="6" w:space="0" w:color="808080"/>
              <w:left w:val="inset" w:sz="6" w:space="0" w:color="808080"/>
              <w:bottom w:val="inset" w:sz="6" w:space="0" w:color="808080"/>
              <w:right w:val="inset" w:sz="6" w:space="0" w:color="808080"/>
            </w:tcBorders>
          </w:tcPr>
          <w:p>
            <w:pPr>
              <w:spacing w:line="312" w:lineRule="auto"/>
              <w:jc w:val="both"/>
              <w:rPr>
                <w:rStyle w:val="DefaultParagraphFont"/>
                <w:rFonts w:asciiTheme="minorHAnsi" w:eastAsiaTheme="minorEastAsia" w:hAnsiTheme="minorHAnsi"/>
                <w:sz w:val="22"/>
              </w:rPr>
            </w:pPr>
          </w:p>
        </w:tc>
        <w:tc>
          <w:tcPr>
            <w:vMerge/>
            <w:tcBorders>
              <w:top w:val="inset" w:sz="6" w:space="0" w:color="808080"/>
              <w:left w:val="inset" w:sz="6" w:space="0" w:color="808080"/>
              <w:bottom w:val="inset" w:sz="6" w:space="0" w:color="808080"/>
              <w:right w:val="inset" w:sz="6" w:space="0" w:color="808080"/>
            </w:tcBorders>
          </w:tcPr>
          <w:p>
            <w:pPr>
              <w:spacing w:before="0" w:beforeAutospacing="0" w:after="0" w:afterAutospacing="0" w:line="240" w:lineRule="auto"/>
              <w:jc w:val="both"/>
              <w:rPr>
                <w:rStyle w:val="DefaultParagraphFont"/>
                <w:rFonts w:asciiTheme="minorHAnsi" w:eastAsiaTheme="minorEastAsia" w:hAnsiTheme="minorHAnsi"/>
                <w:sz w:val="22"/>
                <w:bdr w:val="nil"/>
                <w:rtl w:val="0"/>
              </w:rPr>
            </w:pP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uvědomovat si své možnosti i limity (své silné i slabé stránky)</w:t>
            </w:r>
          </w:p>
        </w:tc>
      </w:tr>
      <w:tr>
        <w:tblPrEx>
          <w:tblW w:w="5000" w:type="pct"/>
          <w:tblInd w:w="0" w:type="dxa"/>
          <w:tblCellMar>
            <w:top w:w="0" w:type="dxa"/>
            <w:left w:w="15" w:type="dxa"/>
            <w:bottom w:w="0" w:type="dxa"/>
            <w:right w:w="15" w:type="dxa"/>
          </w:tblCellMar>
        </w:tblPrEx>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ví, že není jedno, v jakém prostředí žije, uvědomuje si, že se svým chováním na něm podílí a že je může ovlivnit</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vytváření prosociálních postojů (rozvoj sociální citlivosti, tolerance, respektu, přizpůsobivosti apod.)</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chápat, že všichni lidé (děti) mají stejnou hodnotu, přestože je každý jiný (jinak vypadá, jinak se chová, něco jiného umí či neumí apod.), že osobní, resp. osobnostní odlišnosti jsou přirozené</w:t>
            </w:r>
          </w:p>
        </w:tc>
      </w:tr>
      <w:tr>
        <w:tblPrEx>
          <w:tblW w:w="5000" w:type="pct"/>
          <w:tblInd w:w="0" w:type="dxa"/>
          <w:tblCellMar>
            <w:top w:w="0" w:type="dxa"/>
            <w:left w:w="15" w:type="dxa"/>
            <w:bottom w:w="0" w:type="dxa"/>
            <w:right w:w="15" w:type="dxa"/>
          </w:tblCellMar>
        </w:tblPrEx>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dbá na osobní zdraví a bezpečí svoje i druhých, chová se odpovědně s ohledem na zdravé a bezpečné okolní prostředí (přírodní i společenské)</w:t>
            </w:r>
          </w:p>
        </w:tc>
        <w:tc>
          <w:tcPr>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osvojení si poznatků o těle a jeho zdraví, o pohybových činnostech a jejich kvalitě</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mít povědomí o některých způsobech ochrany osobního zdraví a bezpečí a o tom, kde v případě potřeby hledat pomoc (kam se obrátit, koho přivolat, jakým způsobem apod.)</w:t>
            </w:r>
          </w:p>
        </w:tc>
      </w:tr>
      <w:tr>
        <w:tblPrEx>
          <w:tblW w:w="5000" w:type="pct"/>
          <w:tblInd w:w="0" w:type="dxa"/>
          <w:tblCellMar>
            <w:top w:w="0" w:type="dxa"/>
            <w:left w:w="15" w:type="dxa"/>
            <w:bottom w:w="0" w:type="dxa"/>
            <w:right w:w="15" w:type="dxa"/>
          </w:tblCellMar>
        </w:tblPrEx>
        <w:tc>
          <w:tcPr>
            <w:tcW w:w="1650" w:type="pct"/>
            <w:vMerge/>
            <w:tcBorders>
              <w:top w:val="inset" w:sz="6" w:space="0" w:color="808080"/>
              <w:left w:val="inset" w:sz="6" w:space="0" w:color="808080"/>
              <w:bottom w:val="inset" w:sz="6" w:space="0" w:color="808080"/>
              <w:right w:val="inset" w:sz="6" w:space="0" w:color="808080"/>
            </w:tcBorders>
          </w:tcPr>
          <w:p>
            <w:pPr>
              <w:spacing w:line="312" w:lineRule="auto"/>
              <w:jc w:val="both"/>
              <w:rPr>
                <w:rStyle w:val="DefaultParagraphFont"/>
                <w:rFonts w:asciiTheme="minorHAnsi" w:eastAsiaTheme="minorEastAsia" w:hAnsiTheme="minorHAnsi"/>
                <w:sz w:val="22"/>
              </w:rPr>
            </w:pPr>
          </w:p>
        </w:tc>
        <w:tc>
          <w:tcPr>
            <w:vMerge/>
            <w:tcBorders>
              <w:top w:val="inset" w:sz="6" w:space="0" w:color="808080"/>
              <w:left w:val="inset" w:sz="6" w:space="0" w:color="808080"/>
              <w:bottom w:val="inset" w:sz="6" w:space="0" w:color="808080"/>
              <w:right w:val="inset" w:sz="6" w:space="0" w:color="808080"/>
            </w:tcBorders>
          </w:tcPr>
          <w:p>
            <w:pPr>
              <w:spacing w:before="0" w:beforeAutospacing="0" w:after="0" w:afterAutospacing="0" w:line="240" w:lineRule="auto"/>
              <w:jc w:val="both"/>
              <w:rPr>
                <w:rStyle w:val="DefaultParagraphFont"/>
                <w:rFonts w:asciiTheme="minorHAnsi" w:eastAsiaTheme="minorEastAsia" w:hAnsiTheme="minorHAnsi"/>
                <w:sz w:val="22"/>
                <w:bdr w:val="nil"/>
                <w:rtl w:val="0"/>
              </w:rPr>
            </w:pP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rozlišovat, co prospívá zdraví a co mu škodí; chovat se tak, aby v situacích pro dítě běžných a jemu známých neohrožovalo zdraví, bezpečí a pohodu svou ani druhých</w:t>
            </w:r>
          </w:p>
        </w:tc>
      </w:tr>
      <w:tr>
        <w:tblPrEx>
          <w:tblW w:w="5000" w:type="pct"/>
          <w:tblInd w:w="0" w:type="dxa"/>
          <w:tblCellMar>
            <w:top w:w="0" w:type="dxa"/>
            <w:left w:w="15" w:type="dxa"/>
            <w:bottom w:w="0" w:type="dxa"/>
            <w:right w:w="15" w:type="dxa"/>
          </w:tblCellMar>
        </w:tblPrEx>
        <w:tc>
          <w:tcPr>
            <w:tcW w:w="1650" w:type="pct"/>
            <w:vMerge/>
            <w:tcBorders>
              <w:top w:val="inset" w:sz="6" w:space="0" w:color="808080"/>
              <w:left w:val="inset" w:sz="6" w:space="0" w:color="808080"/>
              <w:bottom w:val="inset" w:sz="6" w:space="0" w:color="808080"/>
              <w:right w:val="inset" w:sz="6" w:space="0" w:color="808080"/>
            </w:tcBorders>
          </w:tcPr>
          <w:p>
            <w:pPr>
              <w:spacing w:line="312" w:lineRule="auto"/>
              <w:jc w:val="both"/>
              <w:rPr>
                <w:rStyle w:val="DefaultParagraphFont"/>
                <w:rFonts w:asciiTheme="minorHAnsi" w:eastAsiaTheme="minorEastAsia" w:hAnsiTheme="minorHAnsi"/>
                <w:sz w:val="22"/>
              </w:rPr>
            </w:pPr>
          </w:p>
        </w:tc>
        <w:tc>
          <w:tcPr>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osvojení si poznatků a dovedností důležitých k podpoře zdraví, bezpečí, osobní pohody i pohody prostředí</w:t>
            </w: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mít povědomí o významu péče o čistotu a zdraví, o významu aktivního pohybu a zdravé výživy</w:t>
            </w:r>
          </w:p>
        </w:tc>
      </w:tr>
      <w:tr>
        <w:tblPrEx>
          <w:tblW w:w="5000" w:type="pct"/>
          <w:tblInd w:w="0" w:type="dxa"/>
          <w:tblCellMar>
            <w:top w:w="0" w:type="dxa"/>
            <w:left w:w="15" w:type="dxa"/>
            <w:bottom w:w="0" w:type="dxa"/>
            <w:right w:w="15" w:type="dxa"/>
          </w:tblCellMar>
        </w:tblPrEx>
        <w:tc>
          <w:tcPr>
            <w:tcW w:w="1650" w:type="pct"/>
            <w:vMerge/>
            <w:tcBorders>
              <w:top w:val="inset" w:sz="6" w:space="0" w:color="808080"/>
              <w:left w:val="inset" w:sz="6" w:space="0" w:color="808080"/>
              <w:bottom w:val="inset" w:sz="6" w:space="0" w:color="808080"/>
              <w:right w:val="inset" w:sz="6" w:space="0" w:color="808080"/>
            </w:tcBorders>
          </w:tcPr>
          <w:p>
            <w:pPr>
              <w:spacing w:line="312" w:lineRule="auto"/>
              <w:jc w:val="both"/>
              <w:rPr>
                <w:rStyle w:val="DefaultParagraphFont"/>
                <w:rFonts w:asciiTheme="minorHAnsi" w:eastAsiaTheme="minorEastAsia" w:hAnsiTheme="minorHAnsi"/>
                <w:sz w:val="22"/>
              </w:rPr>
            </w:pPr>
          </w:p>
        </w:tc>
        <w:tc>
          <w:tcPr>
            <w:vMerge/>
            <w:tcBorders>
              <w:top w:val="inset" w:sz="6" w:space="0" w:color="808080"/>
              <w:left w:val="inset" w:sz="6" w:space="0" w:color="808080"/>
              <w:bottom w:val="inset" w:sz="6" w:space="0" w:color="808080"/>
              <w:right w:val="inset" w:sz="6" w:space="0" w:color="808080"/>
            </w:tcBorders>
          </w:tcPr>
          <w:p>
            <w:pPr>
              <w:spacing w:before="0" w:beforeAutospacing="0" w:after="0" w:afterAutospacing="0" w:line="240" w:lineRule="auto"/>
              <w:jc w:val="both"/>
              <w:rPr>
                <w:rStyle w:val="DefaultParagraphFont"/>
                <w:rFonts w:asciiTheme="minorHAnsi" w:eastAsiaTheme="minorEastAsia" w:hAnsiTheme="minorHAnsi"/>
                <w:sz w:val="22"/>
                <w:bdr w:val="nil"/>
                <w:rtl w:val="0"/>
              </w:rPr>
            </w:pPr>
          </w:p>
        </w:tc>
        <w:tc>
          <w:tcPr>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pojmenovat části těla, některé orgány (včetně pohlavních), znát jejich funkce, mít povědomí o těle a jeho vývoji, (o narození, růstu těla a jeho proměnách), znát základní pojmy užívané ve spojení se zdravím, s pohybem a sportem</w:t>
            </w:r>
          </w:p>
        </w:tc>
      </w:tr>
    </w:tbl>
    <w:p>
      <w:pPr>
        <w:bidi w:val="0"/>
        <w:rPr>
          <w:rStyle w:val="DefaultParagraphFont"/>
          <w:bdr w:val="nil"/>
          <w:rtl w:val="0"/>
        </w:rPr>
      </w:pPr>
      <w:r>
        <w:rPr>
          <w:rStyle w:val="DefaultParagraphFont"/>
          <w:bdr w:val="nil"/>
          <w:rtl w:val="0"/>
        </w:rPr>
        <w:t>     </w:t>
      </w:r>
    </w:p>
    <w:p>
      <w:pPr>
        <w:pStyle w:val="Heading2"/>
        <w:bidi w:val="0"/>
        <w:spacing w:before="299" w:after="299"/>
        <w:rPr>
          <w:rStyle w:val="DefaultParagraphFont"/>
          <w:bdr w:val="nil"/>
          <w:rtl w:val="0"/>
        </w:rPr>
      </w:pPr>
      <w:bookmarkStart w:id="31" w:name="_Toc256000034"/>
      <w:r>
        <w:rPr>
          <w:rStyle w:val="DefaultParagraphFont"/>
          <w:b/>
          <w:bCs/>
          <w:sz w:val="36"/>
          <w:szCs w:val="36"/>
          <w:bdr w:val="nil"/>
          <w:rtl w:val="0"/>
        </w:rPr>
        <w:t>Popis zpracování třídního vzdělávacího programu</w:t>
      </w:r>
      <w:bookmarkEnd w:id="31"/>
      <w:r>
        <w:rPr>
          <w:rStyle w:val="DefaultParagraphFont"/>
          <w:b/>
          <w:bCs/>
          <w:sz w:val="36"/>
          <w:szCs w:val="36"/>
          <w:bdr w:val="nil"/>
          <w:rtl w:val="0"/>
        </w:rPr>
        <w:t> </w:t>
      </w:r>
    </w:p>
    <w:p>
      <w:pPr>
        <w:bidi w:val="0"/>
        <w:spacing w:before="240" w:after="240"/>
        <w:rPr>
          <w:rStyle w:val="DefaultParagraphFont"/>
          <w:bdr w:val="nil"/>
          <w:rtl w:val="0"/>
        </w:rPr>
      </w:pPr>
      <w:r>
        <w:rPr>
          <w:rStyle w:val="DefaultParagraphFont"/>
          <w:bdr w:val="nil"/>
          <w:rtl w:val="0"/>
        </w:rPr>
        <w:t>TVP zpracovává každá třída zvlášť s ohledem na věkové složení skupiny dětí. Jeho jednotlivé části jsou zpracovány tak, aby byly pro pedagoga srozumitelné a aby s jejich obsahem mohl dál pracovat. Každá oblast zahrnuje dílčí vzdělávací cíle a vzdělávací nabídku. Dílčí cíle vyjadřují, co by měl pedagog v průběhu školního roku sledovat a co by měl u dítěte podporovat. Vzdělávací nabídka představuje ve svém celku soubor praktických příležitostí, vhodných k naplňování cílů a dosahování výstupů. </w:t>
      </w:r>
    </w:p>
    <w:p>
      <w:pPr>
        <w:pStyle w:val="Heading2"/>
        <w:bidi w:val="0"/>
        <w:spacing w:before="299" w:after="299"/>
        <w:rPr>
          <w:rStyle w:val="DefaultParagraphFont"/>
          <w:bdr w:val="nil"/>
          <w:rtl w:val="0"/>
        </w:rPr>
      </w:pPr>
      <w:bookmarkStart w:id="32" w:name="_Toc256000035"/>
      <w:r>
        <w:rPr>
          <w:rStyle w:val="DefaultParagraphFont"/>
          <w:b/>
          <w:bCs/>
          <w:sz w:val="36"/>
          <w:szCs w:val="36"/>
          <w:bdr w:val="nil"/>
          <w:rtl w:val="0"/>
        </w:rPr>
        <w:t>Dílčí projekty a programy</w:t>
      </w:r>
      <w:bookmarkEnd w:id="32"/>
      <w:r>
        <w:rPr>
          <w:rStyle w:val="DefaultParagraphFont"/>
          <w:b/>
          <w:bCs/>
          <w:sz w:val="36"/>
          <w:szCs w:val="36"/>
          <w:bdr w:val="nil"/>
          <w:rtl w:val="0"/>
        </w:rPr>
        <w:t> </w:t>
      </w:r>
    </w:p>
    <w:p>
      <w:pPr>
        <w:bidi w:val="0"/>
        <w:spacing w:before="240" w:after="240"/>
        <w:rPr>
          <w:rStyle w:val="DefaultParagraphFont"/>
          <w:bdr w:val="nil"/>
          <w:rtl w:val="0"/>
        </w:rPr>
      </w:pPr>
      <w:r>
        <w:rPr>
          <w:rStyle w:val="DefaultParagraphFont"/>
          <w:bdr w:val="nil"/>
          <w:rtl w:val="0"/>
        </w:rPr>
        <w:t>Spolupráce s Malou didaktickou univerzitou Plzeň </w:t>
      </w:r>
    </w:p>
    <w:p>
      <w:pPr>
        <w:bidi w:val="0"/>
        <w:spacing w:before="240" w:after="240"/>
        <w:rPr>
          <w:rStyle w:val="DefaultParagraphFont"/>
          <w:bdr w:val="nil"/>
          <w:rtl w:val="0"/>
        </w:rPr>
      </w:pPr>
      <w:r>
        <w:rPr>
          <w:rStyle w:val="DefaultParagraphFont"/>
          <w:bdr w:val="nil"/>
          <w:rtl w:val="0"/>
        </w:rPr>
        <w:t>  </w:t>
      </w:r>
    </w:p>
    <w:p>
      <w:pPr>
        <w:bidi w:val="0"/>
        <w:rPr>
          <w:rStyle w:val="DefaultParagraphFont"/>
          <w:bdr w:val="nil"/>
          <w:rtl w:val="0"/>
        </w:rPr>
        <w:sectPr>
          <w:type w:val="nextColumn"/>
          <w:pgSz w:w="16838" w:h="11906" w:orient="landscape"/>
          <w:pgMar w:top="1440" w:right="1325" w:bottom="1440" w:left="1800" w:header="720" w:footer="720"/>
          <w:cols w:space="720"/>
        </w:sectPr>
      </w:pPr>
      <w:r>
        <w:rPr>
          <w:rStyle w:val="DefaultParagraphFont"/>
          <w:bdr w:val="nil"/>
          <w:rtl w:val="0"/>
        </w:rPr>
        <w:br/>
      </w:r>
    </w:p>
    <w:p>
      <w:pPr>
        <w:pStyle w:val="Heading1"/>
        <w:bidi w:val="0"/>
        <w:spacing w:before="322" w:after="322"/>
        <w:rPr>
          <w:rStyle w:val="DefaultParagraphFont"/>
          <w:b/>
          <w:bCs/>
          <w:sz w:val="48"/>
          <w:szCs w:val="48"/>
          <w:bdr w:val="nil"/>
          <w:rtl w:val="0"/>
        </w:rPr>
      </w:pPr>
      <w:bookmarkStart w:id="33" w:name="_Toc256000036"/>
      <w:r>
        <w:rPr>
          <w:rStyle w:val="DefaultParagraphFont"/>
          <w:b/>
          <w:bCs/>
          <w:sz w:val="48"/>
          <w:szCs w:val="48"/>
          <w:bdr w:val="nil"/>
          <w:rtl w:val="0"/>
        </w:rPr>
        <w:t>Systém evaluace</w:t>
      </w:r>
      <w:bookmarkEnd w:id="33"/>
      <w:r>
        <w:rPr>
          <w:rStyle w:val="DefaultParagraphFont"/>
          <w:b/>
          <w:bCs/>
          <w:sz w:val="48"/>
          <w:szCs w:val="48"/>
          <w:bdr w:val="nil"/>
          <w:rtl w:val="0"/>
        </w:rPr>
        <w:t> </w:t>
      </w:r>
    </w:p>
    <w:tbl>
      <w:tblPr>
        <w:tblStyle w:val="TabulkaK"/>
        <w:tblStyleRowBandSize w:val="1"/>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5" w:type="dxa"/>
          <w:bottom w:w="0" w:type="dxa"/>
          <w:right w:w="15" w:type="dxa"/>
        </w:tblCellMar>
      </w:tblPr>
      <w:tblGrid>
        <w:gridCol w:w="2681"/>
        <w:gridCol w:w="4374"/>
        <w:gridCol w:w="3325"/>
        <w:gridCol w:w="1311"/>
        <w:gridCol w:w="2022"/>
      </w:tblGrid>
      <w:tr>
        <w:tblPrEx>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5" w:type="dxa"/>
            <w:bottom w:w="0" w:type="dxa"/>
            <w:right w:w="15" w:type="dxa"/>
          </w:tblCellMar>
        </w:tblPrEx>
        <w:trPr>
          <w:tblHeader/>
        </w:trPr>
        <w:tc>
          <w:tcPr>
            <w:tcW w:w="10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Oblast</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Cíle a kritéria</w:t>
            </w:r>
          </w:p>
        </w:tc>
        <w:tc>
          <w:tcPr>
            <w:tcW w:w="12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Nástroje</w:t>
            </w:r>
          </w:p>
        </w:tc>
        <w:tc>
          <w:tcPr>
            <w:tcW w:w="3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Časové rozvržení</w:t>
            </w:r>
          </w:p>
        </w:tc>
        <w:tc>
          <w:tcPr>
            <w:tcW w:w="7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pPr>
              <w:keepNext/>
              <w:shd w:val="clear" w:color="auto" w:fill="9CC2E5"/>
              <w:wordWrap/>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Zodpovědnost</w:t>
            </w:r>
          </w:p>
        </w:tc>
      </w:tr>
      <w:tr>
        <w:tblPrEx>
          <w:tblW w:w="5000" w:type="pct"/>
          <w:tblInd w:w="0" w:type="dxa"/>
          <w:tblCellMar>
            <w:top w:w="0" w:type="dxa"/>
            <w:left w:w="15" w:type="dxa"/>
            <w:bottom w:w="0" w:type="dxa"/>
            <w:right w:w="15" w:type="dxa"/>
          </w:tblCellMar>
        </w:tblPrEx>
        <w:tc>
          <w:tcPr>
            <w:tcW w:w="10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pPr>
              <w:shd w:val="clear" w:color="auto" w:fill="DEEAF6"/>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Koncepce a rámec školy: Jsme vesnická škola, která má v blízkosti les, jezero, řeku a louku, kde využíváme s dětmi blízkost přírody k zkoumání, pozorování a k procházkám. Seznamujeme děti s tradicemi a oslavami v obci. Laskavým přístupem vedeme děti k vytváření hezkých vzájemných vztahů, pomáhání si navzájem, k samostatnosti a ohleduplnosti. Rozvíjíme schopnosti dětí dle jejich individuálních možností a připravujeme je na budoucí úspěšný vstup do základní školy. Dbáme na spolupráci s rodiči, protože mateřská škola vhodně doplňuje rodinnu výchovu.</w:t>
            </w:r>
          </w:p>
        </w:tc>
        <w:tc>
          <w:tcPr>
            <w:tcW w:w="1650" w:type="pct"/>
            <w:tcBorders>
              <w:top w:val="inset" w:sz="6" w:space="0" w:color="808080"/>
              <w:left w:val="inset" w:sz="6" w:space="0" w:color="808080"/>
              <w:bottom w:val="inset" w:sz="6" w:space="0" w:color="808080"/>
              <w:right w:val="inset" w:sz="6" w:space="0" w:color="808080"/>
            </w:tcBorders>
            <w:shd w:val="clear" w:color="auto" w:fill="auto"/>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 naplňování cílů ŠVP, TVP, RVP - způsob zpracování a realizace obsahu vzdělávání (vhodně zvolená témata a náročnost cílů dle věku dítěte) - spolupráce s rodiči</w:t>
            </w:r>
          </w:p>
        </w:tc>
        <w:tc>
          <w:tcPr>
            <w:tcW w:w="1250" w:type="pct"/>
            <w:tcBorders>
              <w:top w:val="inset" w:sz="6" w:space="0" w:color="808080"/>
              <w:left w:val="inset" w:sz="6" w:space="0" w:color="808080"/>
              <w:bottom w:val="inset" w:sz="6" w:space="0" w:color="808080"/>
              <w:right w:val="inset" w:sz="6" w:space="0" w:color="808080"/>
            </w:tcBorders>
            <w:shd w:val="clear" w:color="auto" w:fill="auto"/>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 xml:space="preserve">- pedagogické rady - hodnocení spolupráce školy s rodiči, se ZŠ, OÚ - kontrola dodržování pracovního a organizačního řádu školy a plnění pracovní náplně </w:t>
            </w:r>
          </w:p>
        </w:tc>
        <w:tc>
          <w:tcPr>
            <w:tcW w:w="350" w:type="pct"/>
            <w:tcBorders>
              <w:top w:val="inset" w:sz="6" w:space="0" w:color="808080"/>
              <w:left w:val="inset" w:sz="6" w:space="0" w:color="808080"/>
              <w:bottom w:val="inset" w:sz="6" w:space="0" w:color="808080"/>
              <w:right w:val="inset" w:sz="6" w:space="0" w:color="808080"/>
            </w:tcBorders>
            <w:shd w:val="clear" w:color="auto" w:fill="auto"/>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- 3x ročně pedagogické rady a hodnocení spolupráce - průběžná kontrola pracovního a organizačního řádu školy</w:t>
            </w:r>
          </w:p>
        </w:tc>
        <w:tc>
          <w:tcPr>
            <w:tcW w:w="750" w:type="pct"/>
            <w:tcBorders>
              <w:top w:val="inset" w:sz="6" w:space="0" w:color="808080"/>
              <w:left w:val="inset" w:sz="6" w:space="0" w:color="808080"/>
              <w:bottom w:val="inset" w:sz="6" w:space="0" w:color="808080"/>
              <w:right w:val="inset" w:sz="6" w:space="0" w:color="808080"/>
            </w:tcBorders>
            <w:shd w:val="clear" w:color="auto" w:fill="auto"/>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všichni pedagogové</w:t>
            </w:r>
          </w:p>
        </w:tc>
      </w:tr>
      <w:tr>
        <w:tblPrEx>
          <w:tblW w:w="5000" w:type="pct"/>
          <w:tblInd w:w="0" w:type="dxa"/>
          <w:tblCellMar>
            <w:top w:w="0" w:type="dxa"/>
            <w:left w:w="15" w:type="dxa"/>
            <w:bottom w:w="0" w:type="dxa"/>
            <w:right w:w="15" w:type="dxa"/>
          </w:tblCellMar>
        </w:tblPrEx>
        <w:tc>
          <w:tcPr>
            <w:tcW w:w="10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pPr>
              <w:shd w:val="clear" w:color="auto" w:fill="DEEAF6"/>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Pedagogické vedení školy : Vedoucí učitelka řídí, pravidelně monitoruje a vyhodnocuje práci pedagogů a klima školy.</w:t>
            </w:r>
          </w:p>
        </w:tc>
        <w:tc>
          <w:tcPr>
            <w:tcW w:w="1650" w:type="pct"/>
            <w:tcBorders>
              <w:top w:val="inset" w:sz="6" w:space="0" w:color="808080"/>
              <w:left w:val="inset" w:sz="6" w:space="0" w:color="808080"/>
              <w:bottom w:val="inset" w:sz="6" w:space="0" w:color="808080"/>
              <w:right w:val="inset" w:sz="6" w:space="0" w:color="808080"/>
            </w:tcBorders>
            <w:shd w:val="clear" w:color="auto" w:fill="auto"/>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 kontrola a vedení třídní dokumentace - vyhodnocování vzdělávacích činností a podmínek vzdělávání</w:t>
            </w:r>
          </w:p>
        </w:tc>
        <w:tc>
          <w:tcPr>
            <w:tcW w:w="1250" w:type="pct"/>
            <w:tcBorders>
              <w:top w:val="inset" w:sz="6" w:space="0" w:color="808080"/>
              <w:left w:val="inset" w:sz="6" w:space="0" w:color="808080"/>
              <w:bottom w:val="inset" w:sz="6" w:space="0" w:color="808080"/>
              <w:right w:val="inset" w:sz="6" w:space="0" w:color="808080"/>
            </w:tcBorders>
            <w:shd w:val="clear" w:color="auto" w:fill="auto"/>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 xml:space="preserve">- hospitační činnosti - výroční zpráva </w:t>
            </w:r>
          </w:p>
        </w:tc>
        <w:tc>
          <w:tcPr>
            <w:tcW w:w="350" w:type="pct"/>
            <w:tcBorders>
              <w:top w:val="inset" w:sz="6" w:space="0" w:color="808080"/>
              <w:left w:val="inset" w:sz="6" w:space="0" w:color="808080"/>
              <w:bottom w:val="inset" w:sz="6" w:space="0" w:color="808080"/>
              <w:right w:val="inset" w:sz="6" w:space="0" w:color="808080"/>
            </w:tcBorders>
            <w:shd w:val="clear" w:color="auto" w:fill="auto"/>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 výroční zpráva 1x ročně - hospitační činnost probíhá průběžně s ostatními pedagogy</w:t>
            </w:r>
          </w:p>
        </w:tc>
        <w:tc>
          <w:tcPr>
            <w:tcW w:w="750" w:type="pct"/>
            <w:tcBorders>
              <w:top w:val="inset" w:sz="6" w:space="0" w:color="808080"/>
              <w:left w:val="inset" w:sz="6" w:space="0" w:color="808080"/>
              <w:bottom w:val="inset" w:sz="6" w:space="0" w:color="808080"/>
              <w:right w:val="inset" w:sz="6" w:space="0" w:color="808080"/>
            </w:tcBorders>
            <w:shd w:val="clear" w:color="auto" w:fill="auto"/>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 vedoucí pedagog</w:t>
            </w:r>
          </w:p>
        </w:tc>
      </w:tr>
      <w:tr>
        <w:tblPrEx>
          <w:tblW w:w="5000" w:type="pct"/>
          <w:tblInd w:w="0" w:type="dxa"/>
          <w:tblCellMar>
            <w:top w:w="0" w:type="dxa"/>
            <w:left w:w="15" w:type="dxa"/>
            <w:bottom w:w="0" w:type="dxa"/>
            <w:right w:w="15" w:type="dxa"/>
          </w:tblCellMar>
        </w:tblPrEx>
        <w:tc>
          <w:tcPr>
            <w:tcW w:w="10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pPr>
              <w:shd w:val="clear" w:color="auto" w:fill="DEEAF6"/>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Kvalita pedagogického sboru: všichni pedagogové mají odpovídající kvalifikaci pro svou práci. Pracují v souladu s pedagogickými a metodickými zásadami výchovy a vzdělávání předškolních dětí. Pravidělně se účastníme seminářů a webinářů a využíváme odborných knih a časopisů k dalšímu sebevzdělávání.</w:t>
            </w:r>
          </w:p>
        </w:tc>
        <w:tc>
          <w:tcPr>
            <w:tcW w:w="1650" w:type="pct"/>
            <w:tcBorders>
              <w:top w:val="inset" w:sz="6" w:space="0" w:color="808080"/>
              <w:left w:val="inset" w:sz="6" w:space="0" w:color="808080"/>
              <w:bottom w:val="inset" w:sz="6" w:space="0" w:color="808080"/>
              <w:right w:val="inset" w:sz="6" w:space="0" w:color="808080"/>
            </w:tcBorders>
            <w:shd w:val="clear" w:color="auto" w:fill="auto"/>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 vedení školy aktivně vytváří zdravé školní klima, pečuje o vztahy mezi pedagogy, mezi pedagogy a dětmi a mezi pedagogy a rodiči - uplatňujeme vstřícný a respektující přístup</w:t>
            </w:r>
          </w:p>
        </w:tc>
        <w:tc>
          <w:tcPr>
            <w:tcW w:w="1250" w:type="pct"/>
            <w:tcBorders>
              <w:top w:val="inset" w:sz="6" w:space="0" w:color="808080"/>
              <w:left w:val="inset" w:sz="6" w:space="0" w:color="808080"/>
              <w:bottom w:val="inset" w:sz="6" w:space="0" w:color="808080"/>
              <w:right w:val="inset" w:sz="6" w:space="0" w:color="808080"/>
            </w:tcBorders>
            <w:shd w:val="clear" w:color="auto" w:fill="auto"/>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 sebereflexce učitelů - hospitace</w:t>
            </w:r>
          </w:p>
        </w:tc>
        <w:tc>
          <w:tcPr>
            <w:tcW w:w="350" w:type="pct"/>
            <w:tcBorders>
              <w:top w:val="inset" w:sz="6" w:space="0" w:color="808080"/>
              <w:left w:val="inset" w:sz="6" w:space="0" w:color="808080"/>
              <w:bottom w:val="inset" w:sz="6" w:space="0" w:color="808080"/>
              <w:right w:val="inset" w:sz="6" w:space="0" w:color="808080"/>
            </w:tcBorders>
            <w:shd w:val="clear" w:color="auto" w:fill="auto"/>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 denní zamýšlení, rozhovory mezi kolegyněmi - písemné hodnocení po skončení tématické části</w:t>
            </w:r>
          </w:p>
        </w:tc>
        <w:tc>
          <w:tcPr>
            <w:tcW w:w="750" w:type="pct"/>
            <w:tcBorders>
              <w:top w:val="inset" w:sz="6" w:space="0" w:color="808080"/>
              <w:left w:val="inset" w:sz="6" w:space="0" w:color="808080"/>
              <w:bottom w:val="inset" w:sz="6" w:space="0" w:color="808080"/>
              <w:right w:val="inset" w:sz="6" w:space="0" w:color="808080"/>
            </w:tcBorders>
            <w:shd w:val="clear" w:color="auto" w:fill="auto"/>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všichni pedagogové</w:t>
            </w:r>
          </w:p>
        </w:tc>
      </w:tr>
      <w:tr>
        <w:tblPrEx>
          <w:tblW w:w="5000" w:type="pct"/>
          <w:tblInd w:w="0" w:type="dxa"/>
          <w:tblCellMar>
            <w:top w:w="0" w:type="dxa"/>
            <w:left w:w="15" w:type="dxa"/>
            <w:bottom w:w="0" w:type="dxa"/>
            <w:right w:w="15" w:type="dxa"/>
          </w:tblCellMar>
        </w:tblPrEx>
        <w:tc>
          <w:tcPr>
            <w:tcW w:w="10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pPr>
              <w:shd w:val="clear" w:color="auto" w:fill="DEEAF6"/>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Vzdělávání: Systematicky promýšlíme a připravujeme vzdělávání dětí v souladu s TVP a ŠVP a individuálními potřebami dětí.</w:t>
            </w:r>
          </w:p>
        </w:tc>
        <w:tc>
          <w:tcPr>
            <w:tcW w:w="1650" w:type="pct"/>
            <w:tcBorders>
              <w:top w:val="inset" w:sz="6" w:space="0" w:color="808080"/>
              <w:left w:val="inset" w:sz="6" w:space="0" w:color="808080"/>
              <w:bottom w:val="inset" w:sz="6" w:space="0" w:color="808080"/>
              <w:right w:val="inset" w:sz="6" w:space="0" w:color="808080"/>
            </w:tcBorders>
            <w:shd w:val="clear" w:color="auto" w:fill="auto"/>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Zda-li téma vycházelo z potřeb dětí a respektování jejich zájmu, zda přispělo téma k rozvoji poznatků dítěte, zda bylo téma srozumitelné, které kompetence si děti k tématu rozvíjeli, zda měly děti možnost samostatného vyjadřování k danému tématu.</w:t>
            </w:r>
          </w:p>
        </w:tc>
        <w:tc>
          <w:tcPr>
            <w:tcW w:w="1250" w:type="pct"/>
            <w:tcBorders>
              <w:top w:val="inset" w:sz="6" w:space="0" w:color="808080"/>
              <w:left w:val="inset" w:sz="6" w:space="0" w:color="808080"/>
              <w:bottom w:val="inset" w:sz="6" w:space="0" w:color="808080"/>
              <w:right w:val="inset" w:sz="6" w:space="0" w:color="808080"/>
            </w:tcBorders>
            <w:shd w:val="clear" w:color="auto" w:fill="auto"/>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 záznamové archy k diagnostice dítěte - portfolia dětí</w:t>
            </w:r>
          </w:p>
        </w:tc>
        <w:tc>
          <w:tcPr>
            <w:tcW w:w="350" w:type="pct"/>
            <w:tcBorders>
              <w:top w:val="inset" w:sz="6" w:space="0" w:color="808080"/>
              <w:left w:val="inset" w:sz="6" w:space="0" w:color="808080"/>
              <w:bottom w:val="inset" w:sz="6" w:space="0" w:color="808080"/>
              <w:right w:val="inset" w:sz="6" w:space="0" w:color="808080"/>
            </w:tcBorders>
            <w:shd w:val="clear" w:color="auto" w:fill="auto"/>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 průběžně</w:t>
            </w:r>
          </w:p>
        </w:tc>
        <w:tc>
          <w:tcPr>
            <w:tcW w:w="750" w:type="pct"/>
            <w:tcBorders>
              <w:top w:val="inset" w:sz="6" w:space="0" w:color="808080"/>
              <w:left w:val="inset" w:sz="6" w:space="0" w:color="808080"/>
              <w:bottom w:val="inset" w:sz="6" w:space="0" w:color="808080"/>
              <w:right w:val="inset" w:sz="6" w:space="0" w:color="808080"/>
            </w:tcBorders>
            <w:shd w:val="clear" w:color="auto" w:fill="auto"/>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 všichni pedagogové</w:t>
            </w:r>
          </w:p>
        </w:tc>
      </w:tr>
      <w:tr>
        <w:tblPrEx>
          <w:tblW w:w="5000" w:type="pct"/>
          <w:tblInd w:w="0" w:type="dxa"/>
          <w:tblCellMar>
            <w:top w:w="0" w:type="dxa"/>
            <w:left w:w="15" w:type="dxa"/>
            <w:bottom w:w="0" w:type="dxa"/>
            <w:right w:w="15" w:type="dxa"/>
          </w:tblCellMar>
        </w:tblPrEx>
        <w:tc>
          <w:tcPr>
            <w:tcW w:w="10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pPr>
              <w:shd w:val="clear" w:color="auto" w:fill="DEEAF6"/>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 xml:space="preserve">Vzdělávací výsledky: Pedagogové systematicky sledují vzdělávací pokrok každého dítěte a při plánování realizace vzdělávání zohledňují vzdělávací potřeby dětí. Soustavně získáváme informace o posunech výsledku každého dítěte ve všech vzdělávacích oblastech a reagujeme na ně vhodnými pedagogickými opatřeními. </w:t>
            </w:r>
          </w:p>
        </w:tc>
        <w:tc>
          <w:tcPr>
            <w:tcW w:w="1650" w:type="pct"/>
            <w:tcBorders>
              <w:top w:val="inset" w:sz="6" w:space="0" w:color="808080"/>
              <w:left w:val="inset" w:sz="6" w:space="0" w:color="808080"/>
              <w:bottom w:val="inset" w:sz="6" w:space="0" w:color="808080"/>
              <w:right w:val="inset" w:sz="6" w:space="0" w:color="808080"/>
            </w:tcBorders>
            <w:shd w:val="clear" w:color="auto" w:fill="auto"/>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 hodnocení očekávaných výstupů u dětí</w:t>
            </w:r>
          </w:p>
        </w:tc>
        <w:tc>
          <w:tcPr>
            <w:tcW w:w="1250" w:type="pct"/>
            <w:tcBorders>
              <w:top w:val="inset" w:sz="6" w:space="0" w:color="808080"/>
              <w:left w:val="inset" w:sz="6" w:space="0" w:color="808080"/>
              <w:bottom w:val="inset" w:sz="6" w:space="0" w:color="808080"/>
              <w:right w:val="inset" w:sz="6" w:space="0" w:color="808080"/>
            </w:tcBorders>
            <w:shd w:val="clear" w:color="auto" w:fill="auto"/>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 vedení portfolia - sledování vývoje a učení dětí - naplňování očekávaných výstupů</w:t>
            </w:r>
          </w:p>
        </w:tc>
        <w:tc>
          <w:tcPr>
            <w:tcW w:w="350" w:type="pct"/>
            <w:tcBorders>
              <w:top w:val="inset" w:sz="6" w:space="0" w:color="808080"/>
              <w:left w:val="inset" w:sz="6" w:space="0" w:color="808080"/>
              <w:bottom w:val="inset" w:sz="6" w:space="0" w:color="808080"/>
              <w:right w:val="inset" w:sz="6" w:space="0" w:color="808080"/>
            </w:tcBorders>
            <w:shd w:val="clear" w:color="auto" w:fill="auto"/>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 průběžně</w:t>
            </w:r>
          </w:p>
        </w:tc>
        <w:tc>
          <w:tcPr>
            <w:tcW w:w="750" w:type="pct"/>
            <w:tcBorders>
              <w:top w:val="inset" w:sz="6" w:space="0" w:color="808080"/>
              <w:left w:val="inset" w:sz="6" w:space="0" w:color="808080"/>
              <w:bottom w:val="inset" w:sz="6" w:space="0" w:color="808080"/>
              <w:right w:val="inset" w:sz="6" w:space="0" w:color="808080"/>
            </w:tcBorders>
            <w:shd w:val="clear" w:color="auto" w:fill="auto"/>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 všichni pedagogové</w:t>
            </w:r>
          </w:p>
        </w:tc>
      </w:tr>
      <w:tr>
        <w:tblPrEx>
          <w:tblW w:w="5000" w:type="pct"/>
          <w:tblInd w:w="0" w:type="dxa"/>
          <w:tblCellMar>
            <w:top w:w="0" w:type="dxa"/>
            <w:left w:w="15" w:type="dxa"/>
            <w:bottom w:w="0" w:type="dxa"/>
            <w:right w:w="15" w:type="dxa"/>
          </w:tblCellMar>
        </w:tblPrEx>
        <w:tc>
          <w:tcPr>
            <w:tcW w:w="10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pPr>
              <w:shd w:val="clear" w:color="auto" w:fill="DEEAF6"/>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Podpora dětí při vzdělávání (rovné příležitosti) : Mateřská škola vytváří každému dítěti a jeho rodině rovné příležitosti ke vzdělávání bez ohledu na jeho pohlaví, věk, etnickou příslušnost, kulturu, rodný jazyk, náboženství, rodinné zázemí, ekonomický status nebo potřebu podpůrných opatření. Mateřská škola poskytuje účinnou podporu všem dětem s potřebou podpůrných opatření.</w:t>
            </w:r>
          </w:p>
        </w:tc>
        <w:tc>
          <w:tcPr>
            <w:tcW w:w="1650" w:type="pct"/>
            <w:tcBorders>
              <w:top w:val="inset" w:sz="6" w:space="0" w:color="808080"/>
              <w:left w:val="inset" w:sz="6" w:space="0" w:color="808080"/>
              <w:bottom w:val="inset" w:sz="6" w:space="0" w:color="808080"/>
              <w:right w:val="inset" w:sz="6" w:space="0" w:color="808080"/>
            </w:tcBorders>
            <w:shd w:val="clear" w:color="auto" w:fill="auto"/>
            <w:tcMar>
              <w:top w:w="15" w:type="dxa"/>
              <w:left w:w="15" w:type="dxa"/>
              <w:bottom w:w="15" w:type="dxa"/>
              <w:right w:w="15" w:type="dxa"/>
            </w:tcMar>
          </w:tcPr>
          <w:p>
            <w:pPr>
              <w:spacing w:line="312" w:lineRule="auto"/>
              <w:jc w:val="both"/>
              <w:rPr>
                <w:rStyle w:val="DefaultParagraphFont"/>
                <w:rFonts w:asciiTheme="minorHAnsi" w:eastAsiaTheme="minorEastAsia" w:hAnsiTheme="minorHAnsi"/>
                <w:sz w:val="22"/>
              </w:rPr>
            </w:pPr>
          </w:p>
        </w:tc>
        <w:tc>
          <w:tcPr>
            <w:tcW w:w="1250" w:type="pct"/>
            <w:tcBorders>
              <w:top w:val="inset" w:sz="6" w:space="0" w:color="808080"/>
              <w:left w:val="inset" w:sz="6" w:space="0" w:color="808080"/>
              <w:bottom w:val="inset" w:sz="6" w:space="0" w:color="808080"/>
              <w:right w:val="inset" w:sz="6" w:space="0" w:color="808080"/>
            </w:tcBorders>
            <w:shd w:val="clear" w:color="auto" w:fill="auto"/>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p>
        </w:tc>
        <w:tc>
          <w:tcPr>
            <w:tcW w:w="350" w:type="pct"/>
            <w:tcBorders>
              <w:top w:val="inset" w:sz="6" w:space="0" w:color="808080"/>
              <w:left w:val="inset" w:sz="6" w:space="0" w:color="808080"/>
              <w:bottom w:val="inset" w:sz="6" w:space="0" w:color="808080"/>
              <w:right w:val="inset" w:sz="6" w:space="0" w:color="808080"/>
            </w:tcBorders>
            <w:shd w:val="clear" w:color="auto" w:fill="auto"/>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 průběžně</w:t>
            </w:r>
          </w:p>
        </w:tc>
        <w:tc>
          <w:tcPr>
            <w:tcW w:w="750" w:type="pct"/>
            <w:tcBorders>
              <w:top w:val="inset" w:sz="6" w:space="0" w:color="808080"/>
              <w:left w:val="inset" w:sz="6" w:space="0" w:color="808080"/>
              <w:bottom w:val="inset" w:sz="6" w:space="0" w:color="808080"/>
              <w:right w:val="inset" w:sz="6" w:space="0" w:color="808080"/>
            </w:tcBorders>
            <w:shd w:val="clear" w:color="auto" w:fill="auto"/>
            <w:tcMar>
              <w:top w:w="15" w:type="dxa"/>
              <w:left w:w="15" w:type="dxa"/>
              <w:bottom w:w="15" w:type="dxa"/>
              <w:right w:w="15" w:type="dxa"/>
            </w:tcMar>
          </w:tcPr>
          <w:p>
            <w:pPr>
              <w:bidi w:val="0"/>
              <w:spacing w:before="0" w:beforeAutospacing="0" w:after="0" w:afterAutospacing="0" w:line="240" w:lineRule="auto"/>
              <w:jc w:val="left"/>
              <w:rPr>
                <w:rStyle w:val="DefaultParagraphFont"/>
                <w:rFonts w:asciiTheme="minorHAnsi" w:eastAsiaTheme="minorEastAsia" w:hAnsiTheme="minorHAnsi"/>
                <w:sz w:val="22"/>
                <w:bdr w:val="nil"/>
                <w:rtl w:val="0"/>
              </w:rPr>
            </w:pPr>
            <w:r>
              <w:rPr>
                <w:rStyle w:val="DefaultParagraphFont"/>
                <w:rFonts w:ascii="Calibri" w:eastAsia="Calibri" w:hAnsi="Calibri" w:cs="Calibri"/>
                <w:b w:val="0"/>
                <w:bCs w:val="0"/>
                <w:i w:val="0"/>
                <w:iCs w:val="0"/>
                <w:smallCaps w:val="0"/>
                <w:color w:val="auto"/>
                <w:sz w:val="22"/>
                <w:szCs w:val="24"/>
                <w:bdr w:val="nil"/>
                <w:rtl w:val="0"/>
              </w:rPr>
              <w:t>- všichni pedagogové</w:t>
            </w:r>
          </w:p>
        </w:tc>
      </w:tr>
    </w:tbl>
    <w:p>
      <w:pPr>
        <w:bidi w:val="0"/>
        <w:rPr>
          <w:rStyle w:val="DefaultParagraphFont"/>
          <w:bdr w:val="nil"/>
          <w:rtl w:val="0"/>
        </w:rPr>
      </w:pPr>
      <w:r>
        <w:rPr>
          <w:rStyle w:val="DefaultParagraphFont"/>
          <w:bdr w:val="nil"/>
          <w:rtl w:val="0"/>
        </w:rPr>
        <w:t xml:space="preserve">  </w:t>
      </w:r>
    </w:p>
    <w:sectPr>
      <w:type w:val="nextColumn"/>
      <w:pgSz w:w="16838" w:h="11906" w:orient="landscape"/>
      <w:pgMar w:top="1440" w:right="1325" w:bottom="1440" w:left="1800" w:header="720" w:footer="72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90650538"/>
      <w:docPartObj>
        <w:docPartGallery w:val="Page Numbers (Bottom of Page)"/>
        <w:docPartUnique/>
      </w:docPartObj>
    </w:sdtPr>
    <w:sdtContent>
      <w:p w:rsidR="00F715E0" w:rsidP="00543D2E">
        <w:pPr>
          <w:pStyle w:val="Footer"/>
          <w:pBdr>
            <w:top w:val="single" w:sz="4" w:space="1" w:color="auto"/>
          </w:pBdr>
          <w:jc w:val="right"/>
        </w:pPr>
        <w:r>
          <w:fldChar w:fldCharType="begin"/>
        </w:r>
        <w:r>
          <w:instrText>PAGE   \* MERGEFORMAT</w:instrText>
        </w:r>
        <w:r>
          <w:fldChar w:fldCharType="separate"/>
        </w:r>
        <w:r w:rsidR="002321E3">
          <w:rPr>
            <w:noProof/>
          </w:rPr>
          <w:t>35</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FC2" w:rsidP="002E35A6">
    <w:pPr>
      <w:pStyle w:val="Header"/>
      <w:pBdr>
        <w:bottom w:val="single" w:sz="4" w:space="1" w:color="auto"/>
      </w:pBdr>
    </w:pPr>
    <w:r w:rsidRPr="00D404C4">
      <w:t>ŠKOLNÍ VZDĚLÁVACÍ PROGRAM </w:t>
    </w:r>
    <w:r w:rsidR="002E35A6">
      <w:t xml:space="preserve"> –  </w:t>
    </w:r>
    <w:r w:rsidR="00670273">
      <w:t>Školní vzdělávací program pro předškolní vzdělávání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6EE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664C4AB7"/>
    <w:multiLevelType w:val="multilevel"/>
    <w:tmpl w:val="D8CCB12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nsid w:val="664C4AB8"/>
    <w:multiLevelType w:val="multilevel"/>
    <w:tmpl w:val="D8CCB12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nsid w:val="664C4AB9"/>
    <w:multiLevelType w:val="hybridMultilevel"/>
    <w:tmpl w:val="00000001"/>
    <w:lvl w:ilvl="0">
      <w:start w:val="1"/>
      <w:numFmt w:val="bullet"/>
      <w:lvlText w:val=""/>
      <w:lvlJc w:val="left"/>
      <w:pPr>
        <w:tabs>
          <w:tab w:val="num" w:pos="720"/>
        </w:tabs>
        <w:ind w:left="720" w:hanging="360"/>
      </w:pPr>
      <w:rPr>
        <w:rFonts w:ascii="Symbol" w:hAnsi="Symbol"/>
        <w:bdr w:val="ni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cs-CZ"/>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63C93"/>
    <w:pPr>
      <w:spacing w:line="312" w:lineRule="auto"/>
      <w:jc w:val="both"/>
    </w:pPr>
    <w:rPr>
      <w:rFonts w:asciiTheme="minorHAnsi" w:eastAsiaTheme="minorEastAsia" w:hAnsiTheme="minorHAnsi"/>
      <w:sz w:val="22"/>
      <w:szCs w:val="24"/>
    </w:rPr>
  </w:style>
  <w:style w:type="paragraph" w:styleId="Heading1">
    <w:name w:val="heading 1"/>
    <w:basedOn w:val="Normal"/>
    <w:link w:val="Nadpis1Char"/>
    <w:uiPriority w:val="9"/>
    <w:qFormat/>
    <w:rsid w:val="000465F1"/>
    <w:pPr>
      <w:keepNext/>
      <w:numPr>
        <w:numId w:val="1"/>
      </w:numPr>
      <w:spacing w:before="100" w:beforeAutospacing="1" w:after="100" w:afterAutospacing="1"/>
      <w:ind w:left="431" w:hanging="431"/>
      <w:outlineLvl w:val="0"/>
    </w:pPr>
    <w:rPr>
      <w:b/>
      <w:bCs/>
      <w:color w:val="5B9BD5" w:themeColor="accent1"/>
      <w:kern w:val="36"/>
      <w:sz w:val="48"/>
      <w:szCs w:val="48"/>
    </w:rPr>
  </w:style>
  <w:style w:type="paragraph" w:styleId="Heading2">
    <w:name w:val="heading 2"/>
    <w:basedOn w:val="Normal"/>
    <w:link w:val="Nadpis2Char"/>
    <w:uiPriority w:val="9"/>
    <w:qFormat/>
    <w:rsid w:val="000465F1"/>
    <w:pPr>
      <w:keepNext/>
      <w:numPr>
        <w:ilvl w:val="1"/>
        <w:numId w:val="1"/>
      </w:numPr>
      <w:spacing w:before="100" w:beforeAutospacing="1" w:after="100" w:afterAutospacing="1"/>
      <w:ind w:left="578" w:hanging="578"/>
      <w:outlineLvl w:val="1"/>
    </w:pPr>
    <w:rPr>
      <w:b/>
      <w:bCs/>
      <w:sz w:val="36"/>
      <w:szCs w:val="36"/>
    </w:rPr>
  </w:style>
  <w:style w:type="paragraph" w:styleId="Heading3">
    <w:name w:val="heading 3"/>
    <w:basedOn w:val="Normal"/>
    <w:link w:val="Nadpis3Char"/>
    <w:uiPriority w:val="9"/>
    <w:qFormat/>
    <w:rsid w:val="000465F1"/>
    <w:pPr>
      <w:keepNext/>
      <w:numPr>
        <w:ilvl w:val="2"/>
        <w:numId w:val="1"/>
      </w:numPr>
      <w:spacing w:before="100" w:beforeAutospacing="1" w:after="100" w:afterAutospacing="1"/>
      <w:outlineLvl w:val="2"/>
    </w:pPr>
    <w:rPr>
      <w:b/>
      <w:bCs/>
      <w:sz w:val="27"/>
      <w:szCs w:val="27"/>
    </w:rPr>
  </w:style>
  <w:style w:type="paragraph" w:styleId="Heading4">
    <w:name w:val="heading 4"/>
    <w:basedOn w:val="Normal"/>
    <w:link w:val="Nadpis4Char"/>
    <w:uiPriority w:val="9"/>
    <w:qFormat/>
    <w:rsid w:val="005E2B7C"/>
    <w:pPr>
      <w:numPr>
        <w:ilvl w:val="3"/>
        <w:numId w:val="1"/>
      </w:numPr>
      <w:spacing w:before="100" w:beforeAutospacing="1" w:after="100" w:afterAutospacing="1"/>
      <w:outlineLvl w:val="3"/>
    </w:pPr>
    <w:rPr>
      <w:b/>
      <w:bCs/>
    </w:rPr>
  </w:style>
  <w:style w:type="paragraph" w:styleId="Heading5">
    <w:name w:val="heading 5"/>
    <w:basedOn w:val="Normal"/>
    <w:next w:val="Normal"/>
    <w:link w:val="Nadpis5Char"/>
    <w:uiPriority w:val="9"/>
    <w:semiHidden/>
    <w:unhideWhenUsed/>
    <w:qFormat/>
    <w:rsid w:val="005E2B7C"/>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Nadpis6Char"/>
    <w:uiPriority w:val="9"/>
    <w:semiHidden/>
    <w:unhideWhenUsed/>
    <w:qFormat/>
    <w:rsid w:val="005E2B7C"/>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Nadpis7Char"/>
    <w:uiPriority w:val="9"/>
    <w:semiHidden/>
    <w:unhideWhenUsed/>
    <w:qFormat/>
    <w:rsid w:val="005E2B7C"/>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Nadpis8Char"/>
    <w:uiPriority w:val="9"/>
    <w:semiHidden/>
    <w:unhideWhenUsed/>
    <w:qFormat/>
    <w:rsid w:val="005E2B7C"/>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Nadpis9Char"/>
    <w:uiPriority w:val="9"/>
    <w:semiHidden/>
    <w:unhideWhenUsed/>
    <w:qFormat/>
    <w:rsid w:val="005E2B7C"/>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adpis1Char">
    <w:name w:val="Nadpis 1 Char"/>
    <w:basedOn w:val="DefaultParagraphFont"/>
    <w:link w:val="Heading1"/>
    <w:uiPriority w:val="9"/>
    <w:rsid w:val="000465F1"/>
    <w:rPr>
      <w:rFonts w:asciiTheme="minorHAnsi" w:eastAsiaTheme="minorEastAsia" w:hAnsiTheme="minorHAnsi"/>
      <w:b/>
      <w:bCs/>
      <w:color w:val="5B9BD5" w:themeColor="accent1"/>
      <w:kern w:val="36"/>
      <w:sz w:val="48"/>
      <w:szCs w:val="48"/>
    </w:rPr>
  </w:style>
  <w:style w:type="character" w:customStyle="1" w:styleId="Nadpis2Char">
    <w:name w:val="Nadpis 2 Char"/>
    <w:basedOn w:val="DefaultParagraphFont"/>
    <w:link w:val="Heading2"/>
    <w:uiPriority w:val="9"/>
    <w:rsid w:val="000465F1"/>
    <w:rPr>
      <w:rFonts w:asciiTheme="minorHAnsi" w:eastAsiaTheme="minorEastAsia" w:hAnsiTheme="minorHAnsi"/>
      <w:b/>
      <w:bCs/>
      <w:sz w:val="36"/>
      <w:szCs w:val="36"/>
    </w:rPr>
  </w:style>
  <w:style w:type="character" w:styleId="Strong">
    <w:name w:val="Strong"/>
    <w:basedOn w:val="DefaultParagraphFont"/>
    <w:uiPriority w:val="22"/>
    <w:qFormat/>
    <w:rsid w:val="005E2B7C"/>
    <w:rPr>
      <w:b/>
      <w:bCs/>
    </w:rPr>
  </w:style>
  <w:style w:type="paragraph" w:styleId="NormalWeb">
    <w:name w:val="Normal (Web)"/>
    <w:basedOn w:val="Normal"/>
    <w:uiPriority w:val="99"/>
    <w:unhideWhenUsed/>
    <w:rsid w:val="005E2B7C"/>
    <w:pPr>
      <w:spacing w:before="100" w:beforeAutospacing="1" w:after="100" w:afterAutospacing="1"/>
    </w:pPr>
  </w:style>
  <w:style w:type="character" w:customStyle="1" w:styleId="Nadpis4Char">
    <w:name w:val="Nadpis 4 Char"/>
    <w:basedOn w:val="DefaultParagraphFont"/>
    <w:link w:val="Heading4"/>
    <w:uiPriority w:val="9"/>
    <w:rsid w:val="005E2B7C"/>
    <w:rPr>
      <w:rFonts w:asciiTheme="minorHAnsi" w:eastAsiaTheme="minorEastAsia" w:hAnsiTheme="minorHAnsi"/>
      <w:b/>
      <w:bCs/>
      <w:sz w:val="22"/>
      <w:szCs w:val="24"/>
    </w:rPr>
  </w:style>
  <w:style w:type="character" w:customStyle="1" w:styleId="Nadpis3Char">
    <w:name w:val="Nadpis 3 Char"/>
    <w:basedOn w:val="DefaultParagraphFont"/>
    <w:link w:val="Heading3"/>
    <w:uiPriority w:val="9"/>
    <w:rsid w:val="000465F1"/>
    <w:rPr>
      <w:rFonts w:asciiTheme="minorHAnsi" w:eastAsiaTheme="minorEastAsia" w:hAnsiTheme="minorHAnsi"/>
      <w:b/>
      <w:bCs/>
      <w:sz w:val="27"/>
      <w:szCs w:val="27"/>
    </w:rPr>
  </w:style>
  <w:style w:type="paragraph" w:styleId="ListParagraph">
    <w:name w:val="List Paragraph"/>
    <w:basedOn w:val="Normal"/>
    <w:uiPriority w:val="34"/>
    <w:qFormat/>
    <w:rsid w:val="005E2B7C"/>
    <w:pPr>
      <w:ind w:left="720"/>
      <w:contextualSpacing/>
    </w:pPr>
  </w:style>
  <w:style w:type="paragraph" w:styleId="TOCHeading">
    <w:name w:val="TOC Heading"/>
    <w:basedOn w:val="Heading1"/>
    <w:next w:val="Normal"/>
    <w:uiPriority w:val="39"/>
    <w:unhideWhenUsed/>
    <w:qFormat/>
    <w:rsid w:val="005E2B7C"/>
    <w:pPr>
      <w:keepLines/>
      <w:numPr>
        <w:numId w:val="0"/>
      </w:numPr>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TOC1">
    <w:name w:val="toc 1"/>
    <w:basedOn w:val="Normal"/>
    <w:next w:val="Normal"/>
    <w:autoRedefine/>
    <w:uiPriority w:val="39"/>
    <w:unhideWhenUsed/>
    <w:rsid w:val="00463C93"/>
    <w:pPr>
      <w:tabs>
        <w:tab w:val="left" w:pos="851"/>
        <w:tab w:val="right" w:leader="dot" w:pos="9072"/>
      </w:tabs>
    </w:pPr>
  </w:style>
  <w:style w:type="paragraph" w:styleId="TOC2">
    <w:name w:val="toc 2"/>
    <w:basedOn w:val="Normal"/>
    <w:next w:val="Normal"/>
    <w:autoRedefine/>
    <w:uiPriority w:val="39"/>
    <w:unhideWhenUsed/>
    <w:rsid w:val="00463C93"/>
    <w:pPr>
      <w:tabs>
        <w:tab w:val="left" w:pos="851"/>
        <w:tab w:val="right" w:leader="dot" w:pos="9072"/>
      </w:tabs>
    </w:pPr>
  </w:style>
  <w:style w:type="character" w:styleId="Hyperlink">
    <w:name w:val="Hyperlink"/>
    <w:basedOn w:val="DefaultParagraphFont"/>
    <w:uiPriority w:val="99"/>
    <w:unhideWhenUsed/>
    <w:rsid w:val="005E2B7C"/>
    <w:rPr>
      <w:color w:val="0563C1" w:themeColor="hyperlink"/>
      <w:u w:val="single"/>
    </w:rPr>
  </w:style>
  <w:style w:type="table" w:styleId="TableGrid">
    <w:name w:val="Table Grid"/>
    <w:basedOn w:val="TableNormal"/>
    <w:uiPriority w:val="59"/>
    <w:rsid w:val="005E2B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5Char">
    <w:name w:val="Nadpis 5 Char"/>
    <w:basedOn w:val="DefaultParagraphFont"/>
    <w:link w:val="Heading5"/>
    <w:uiPriority w:val="9"/>
    <w:semiHidden/>
    <w:rsid w:val="005E2B7C"/>
    <w:rPr>
      <w:rFonts w:asciiTheme="majorHAnsi" w:eastAsiaTheme="majorEastAsia" w:hAnsiTheme="majorHAnsi" w:cstheme="majorBidi"/>
      <w:color w:val="2E74B5" w:themeColor="accent1" w:themeShade="BF"/>
      <w:sz w:val="22"/>
      <w:szCs w:val="24"/>
    </w:rPr>
  </w:style>
  <w:style w:type="character" w:customStyle="1" w:styleId="Nadpis6Char">
    <w:name w:val="Nadpis 6 Char"/>
    <w:basedOn w:val="DefaultParagraphFont"/>
    <w:link w:val="Heading6"/>
    <w:uiPriority w:val="9"/>
    <w:semiHidden/>
    <w:rsid w:val="005E2B7C"/>
    <w:rPr>
      <w:rFonts w:asciiTheme="majorHAnsi" w:eastAsiaTheme="majorEastAsia" w:hAnsiTheme="majorHAnsi" w:cstheme="majorBidi"/>
      <w:color w:val="1F4D78" w:themeColor="accent1" w:themeShade="7F"/>
      <w:sz w:val="22"/>
      <w:szCs w:val="24"/>
    </w:rPr>
  </w:style>
  <w:style w:type="character" w:customStyle="1" w:styleId="Nadpis7Char">
    <w:name w:val="Nadpis 7 Char"/>
    <w:basedOn w:val="DefaultParagraphFont"/>
    <w:link w:val="Heading7"/>
    <w:uiPriority w:val="9"/>
    <w:semiHidden/>
    <w:rsid w:val="005E2B7C"/>
    <w:rPr>
      <w:rFonts w:asciiTheme="majorHAnsi" w:eastAsiaTheme="majorEastAsia" w:hAnsiTheme="majorHAnsi" w:cstheme="majorBidi"/>
      <w:i/>
      <w:iCs/>
      <w:color w:val="1F4D78" w:themeColor="accent1" w:themeShade="7F"/>
      <w:sz w:val="22"/>
      <w:szCs w:val="24"/>
    </w:rPr>
  </w:style>
  <w:style w:type="character" w:customStyle="1" w:styleId="Nadpis8Char">
    <w:name w:val="Nadpis 8 Char"/>
    <w:basedOn w:val="DefaultParagraphFont"/>
    <w:link w:val="Heading8"/>
    <w:uiPriority w:val="9"/>
    <w:semiHidden/>
    <w:rsid w:val="005E2B7C"/>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DefaultParagraphFont"/>
    <w:link w:val="Heading9"/>
    <w:uiPriority w:val="9"/>
    <w:semiHidden/>
    <w:rsid w:val="005E2B7C"/>
    <w:rPr>
      <w:rFonts w:asciiTheme="majorHAnsi" w:eastAsiaTheme="majorEastAsia" w:hAnsiTheme="majorHAnsi" w:cstheme="majorBidi"/>
      <w:i/>
      <w:iCs/>
      <w:color w:val="272727" w:themeColor="text1" w:themeTint="D8"/>
      <w:sz w:val="21"/>
      <w:szCs w:val="21"/>
    </w:rPr>
  </w:style>
  <w:style w:type="paragraph" w:styleId="TOC3">
    <w:name w:val="toc 3"/>
    <w:basedOn w:val="Normal"/>
    <w:next w:val="Normal"/>
    <w:autoRedefine/>
    <w:uiPriority w:val="39"/>
    <w:unhideWhenUsed/>
    <w:rsid w:val="00463C93"/>
    <w:pPr>
      <w:tabs>
        <w:tab w:val="left" w:pos="851"/>
        <w:tab w:val="right" w:leader="dot" w:pos="9072"/>
      </w:tabs>
    </w:pPr>
  </w:style>
  <w:style w:type="table" w:styleId="MediumList1Accent6">
    <w:name w:val="Medium List 1 Accent 6"/>
    <w:basedOn w:val="TableNormal"/>
    <w:uiPriority w:val="65"/>
    <w:rsid w:val="005E2B7C"/>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Tabulkasmkou4zvraznn21">
    <w:name w:val="Tabulka s mřížkou 4 – zvýraznění 21"/>
    <w:basedOn w:val="TableNormal"/>
    <w:uiPriority w:val="49"/>
    <w:rsid w:val="005E2B7C"/>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Header">
    <w:name w:val="header"/>
    <w:basedOn w:val="Normal"/>
    <w:link w:val="ZhlavChar"/>
    <w:uiPriority w:val="99"/>
    <w:unhideWhenUsed/>
    <w:rsid w:val="005E2B7C"/>
    <w:pPr>
      <w:tabs>
        <w:tab w:val="center" w:pos="4536"/>
        <w:tab w:val="right" w:pos="9072"/>
      </w:tabs>
      <w:spacing w:line="240" w:lineRule="auto"/>
    </w:pPr>
  </w:style>
  <w:style w:type="character" w:customStyle="1" w:styleId="ZhlavChar">
    <w:name w:val="Záhlaví Char"/>
    <w:basedOn w:val="DefaultParagraphFont"/>
    <w:link w:val="Header"/>
    <w:uiPriority w:val="99"/>
    <w:rsid w:val="005E2B7C"/>
    <w:rPr>
      <w:rFonts w:asciiTheme="minorHAnsi" w:eastAsiaTheme="minorEastAsia" w:hAnsiTheme="minorHAnsi"/>
      <w:sz w:val="24"/>
      <w:szCs w:val="24"/>
    </w:rPr>
  </w:style>
  <w:style w:type="paragraph" w:styleId="Footer">
    <w:name w:val="footer"/>
    <w:basedOn w:val="Normal"/>
    <w:link w:val="ZpatChar"/>
    <w:uiPriority w:val="99"/>
    <w:unhideWhenUsed/>
    <w:rsid w:val="005E2B7C"/>
    <w:pPr>
      <w:tabs>
        <w:tab w:val="center" w:pos="4536"/>
        <w:tab w:val="right" w:pos="9072"/>
      </w:tabs>
      <w:spacing w:line="240" w:lineRule="auto"/>
    </w:pPr>
  </w:style>
  <w:style w:type="character" w:customStyle="1" w:styleId="ZpatChar">
    <w:name w:val="Zápatí Char"/>
    <w:basedOn w:val="DefaultParagraphFont"/>
    <w:link w:val="Footer"/>
    <w:uiPriority w:val="99"/>
    <w:rsid w:val="005E2B7C"/>
    <w:rPr>
      <w:rFonts w:asciiTheme="minorHAnsi" w:eastAsiaTheme="minorEastAsia" w:hAnsiTheme="minorHAnsi"/>
      <w:sz w:val="24"/>
      <w:szCs w:val="24"/>
    </w:rPr>
  </w:style>
  <w:style w:type="paragraph" w:styleId="Revision">
    <w:name w:val="Revision"/>
    <w:hidden/>
    <w:uiPriority w:val="99"/>
    <w:semiHidden/>
    <w:rsid w:val="00E236A1"/>
    <w:rPr>
      <w:rFonts w:asciiTheme="minorHAnsi" w:eastAsiaTheme="minorEastAsia" w:hAnsiTheme="minorHAnsi"/>
      <w:sz w:val="24"/>
      <w:szCs w:val="24"/>
    </w:rPr>
  </w:style>
  <w:style w:type="paragraph" w:styleId="BalloonText">
    <w:name w:val="Balloon Text"/>
    <w:basedOn w:val="Normal"/>
    <w:link w:val="TextbublinyChar"/>
    <w:uiPriority w:val="99"/>
    <w:semiHidden/>
    <w:unhideWhenUsed/>
    <w:rsid w:val="00E236A1"/>
    <w:pPr>
      <w:spacing w:line="240" w:lineRule="auto"/>
    </w:pPr>
    <w:rPr>
      <w:rFonts w:ascii="Segoe UI" w:hAnsi="Segoe UI" w:cs="Segoe UI"/>
      <w:sz w:val="18"/>
      <w:szCs w:val="18"/>
    </w:rPr>
  </w:style>
  <w:style w:type="character" w:customStyle="1" w:styleId="TextbublinyChar">
    <w:name w:val="Text bubliny Char"/>
    <w:basedOn w:val="DefaultParagraphFont"/>
    <w:link w:val="BalloonText"/>
    <w:uiPriority w:val="99"/>
    <w:semiHidden/>
    <w:rsid w:val="00E236A1"/>
    <w:rPr>
      <w:rFonts w:ascii="Segoe UI" w:hAnsi="Segoe UI" w:eastAsiaTheme="minorEastAsia"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TextkomenteChar"/>
    <w:uiPriority w:val="99"/>
    <w:unhideWhenUsed/>
    <w:pPr>
      <w:spacing w:line="240" w:lineRule="auto"/>
    </w:pPr>
    <w:rPr>
      <w:sz w:val="20"/>
      <w:szCs w:val="20"/>
    </w:rPr>
  </w:style>
  <w:style w:type="character" w:customStyle="1" w:styleId="TextkomenteChar">
    <w:name w:val="Text komentáře Char"/>
    <w:basedOn w:val="DefaultParagraphFont"/>
    <w:link w:val="CommentText"/>
    <w:uiPriority w:val="99"/>
    <w:rPr>
      <w:rFonts w:asciiTheme="minorHAnsi" w:eastAsiaTheme="minorEastAsia" w:hAnsiTheme="minorHAnsi"/>
    </w:rPr>
  </w:style>
  <w:style w:type="paragraph" w:styleId="CommentSubject">
    <w:name w:val="annotation subject"/>
    <w:basedOn w:val="CommentText"/>
    <w:next w:val="CommentText"/>
    <w:link w:val="PedmtkomenteChar"/>
    <w:uiPriority w:val="99"/>
    <w:semiHidden/>
    <w:unhideWhenUsed/>
    <w:rsid w:val="00A04770"/>
    <w:rPr>
      <w:b/>
      <w:bCs/>
    </w:rPr>
  </w:style>
  <w:style w:type="character" w:customStyle="1" w:styleId="PedmtkomenteChar">
    <w:name w:val="Předmět komentáře Char"/>
    <w:basedOn w:val="TextkomenteChar"/>
    <w:link w:val="CommentSubject"/>
    <w:uiPriority w:val="99"/>
    <w:semiHidden/>
    <w:rsid w:val="00A04770"/>
    <w:rPr>
      <w:rFonts w:asciiTheme="minorHAnsi" w:eastAsiaTheme="minorEastAsia" w:hAnsiTheme="minorHAnsi"/>
      <w:b/>
      <w:bCs/>
    </w:rPr>
  </w:style>
  <w:style w:type="table" w:customStyle="1" w:styleId="TabulkaK">
    <w:name w:val="Tabulka_K"/>
    <w:basedOn w:val="TableNormal"/>
    <w:uiPriority w:val="99"/>
    <w:rsid w:val="00463C93"/>
    <w:pPr>
      <w:jc w:val="both"/>
    </w:pPr>
    <w:rPr>
      <w:rFonts w:asciiTheme="minorHAnsi" w:hAnsiTheme="minorHAnsi"/>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pPr>
        <w:keepNext/>
        <w:wordWrap/>
      </w:pPr>
      <w:rPr>
        <w:rFonts w:asciiTheme="minorHAnsi" w:hAnsiTheme="minorHAnsi"/>
        <w:sz w:val="22"/>
      </w:rPr>
    </w:tblStylePr>
  </w:style>
  <w:style w:type="table" w:customStyle="1" w:styleId="TabulkaPT">
    <w:name w:val="Tabulka_PT"/>
    <w:basedOn w:val="TableNormal"/>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ZKR">
    <w:name w:val="Tabulka_ZKR"/>
    <w:basedOn w:val="TableNormal"/>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UP">
    <w:name w:val="Tabulka_UP"/>
    <w:basedOn w:val="TableNormal"/>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T">
    <w:name w:val="Tabulka_T"/>
    <w:basedOn w:val="TableNormal"/>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P1">
    <w:name w:val="Tabulka_P1"/>
    <w:basedOn w:val="TableNormal"/>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P2">
    <w:name w:val="Tabulka_P2"/>
    <w:basedOn w:val="TableNormal"/>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P3">
    <w:name w:val="Tabulka_P3"/>
    <w:basedOn w:val="TableNormal"/>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P4">
    <w:name w:val="Tabulka_P4"/>
    <w:basedOn w:val="TableNormal"/>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RS">
    <w:name w:val="Tabulka_RS"/>
    <w:basedOn w:val="TableNormal"/>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IB">
    <w:name w:val="Tabulka_IB"/>
    <w:basedOn w:val="TableNormal"/>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paragraph" w:customStyle="1" w:styleId="TabulkaHlavicka">
    <w:name w:val="Tabulka_Hlavicka"/>
    <w:basedOn w:val="Normal"/>
    <w:qFormat/>
    <w:rsid w:val="006C0091"/>
    <w:pPr>
      <w:shd w:val="clear" w:color="auto" w:fill="9CC2E5" w:themeFill="accent1" w:themeFillTint="99"/>
    </w:pPr>
    <w:rPr>
      <w:sz w:val="24"/>
    </w:rPr>
  </w:style>
  <w:style w:type="paragraph" w:customStyle="1" w:styleId="TabulkaSouhrn">
    <w:name w:val="Tabulka_Souhrn"/>
    <w:basedOn w:val="Normal"/>
    <w:qFormat/>
    <w:rsid w:val="006C0091"/>
    <w:pPr>
      <w:shd w:val="clear" w:color="auto" w:fill="DEEAF6" w:themeFill="accent1" w:themeFillTint="33"/>
    </w:pPr>
    <w:rPr>
      <w:sz w:val="24"/>
    </w:rPr>
  </w:style>
  <w:style w:type="paragraph" w:styleId="NoSpacing">
    <w:name w:val="No Spacing"/>
    <w:link w:val="BezmezerChar"/>
    <w:uiPriority w:val="1"/>
    <w:qFormat/>
    <w:rsid w:val="002E35A6"/>
    <w:rPr>
      <w:rFonts w:asciiTheme="minorHAnsi" w:eastAsiaTheme="minorEastAsia" w:hAnsiTheme="minorHAnsi" w:cstheme="minorBidi"/>
      <w:sz w:val="22"/>
      <w:szCs w:val="22"/>
    </w:rPr>
  </w:style>
  <w:style w:type="character" w:customStyle="1" w:styleId="BezmezerChar">
    <w:name w:val="Bez mezer Char"/>
    <w:basedOn w:val="DefaultParagraphFont"/>
    <w:link w:val="NoSpacing"/>
    <w:uiPriority w:val="1"/>
    <w:rsid w:val="002E35A6"/>
    <w:rPr>
      <w:rFonts w:asciiTheme="minorHAnsi" w:eastAsiaTheme="minorEastAsia" w:hAnsiTheme="minorHAnsi" w:cstheme="minorBidi"/>
      <w:sz w:val="22"/>
      <w:szCs w:val="22"/>
    </w:rPr>
  </w:style>
  <w:style w:type="character" w:styleId="PlaceholderText">
    <w:name w:val="Placeholder Text"/>
    <w:uiPriority w:val="99"/>
    <w:semiHidden/>
    <w:rsid w:val="002E35A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unicode"/>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CF9856-4468-4E06-A531-F0CE70482B3E}">
  <ds:schemaRefs>
    <ds:schemaRef ds:uri="http://schemas.openxmlformats.org/officeDocument/2006/bibliography"/>
  </ds:schemaRefs>
</ds:datastoreItem>
</file>

<file path=customXml/itemProps2.xml><?xml version="1.0" encoding="utf-8"?>
<ds:datastoreItem xmlns:ds="http://schemas.openxmlformats.org/officeDocument/2006/customXml" ds:itemID="{E48FDC40-5B91-47FE-9167-E36A3739CB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35</Pages>
  <Words>12</Words>
  <Characters>76</Characters>
  <Application>Microsoft Office Word</Application>
  <DocSecurity>0</DocSecurity>
  <Lines>1</Lines>
  <Paragraphs>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2015-01-07T07:37:00Z</dcterms:created>
  <dcterms:modified xsi:type="dcterms:W3CDTF">2019-05-10T09:37:00Z</dcterms:modified>
</cp:coreProperties>
</file>